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0B42F5">
      <w:pPr>
        <w:keepNext w:val="0"/>
        <w:keepLines w:val="0"/>
        <w:pageBreakBefore w:val="0"/>
        <w:kinsoku/>
        <w:wordWrap/>
        <w:overflowPunct/>
        <w:topLinePunct w:val="0"/>
        <w:bidi w:val="0"/>
        <w:spacing w:line="560" w:lineRule="exact"/>
        <w:ind w:right="136" w:rightChars="65"/>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肇庆市复合肥料产品质量</w:t>
      </w:r>
    </w:p>
    <w:p w14:paraId="2A173F4D">
      <w:pPr>
        <w:keepNext w:val="0"/>
        <w:keepLines w:val="0"/>
        <w:pageBreakBefore w:val="0"/>
        <w:kinsoku/>
        <w:wordWrap/>
        <w:overflowPunct/>
        <w:topLinePunct w:val="0"/>
        <w:bidi w:val="0"/>
        <w:spacing w:line="560" w:lineRule="exact"/>
        <w:ind w:right="136" w:rightChars="65"/>
        <w:jc w:val="center"/>
        <w:textAlignment w:val="auto"/>
        <w:rPr>
          <w:rFonts w:ascii="黑体" w:eastAsia="黑体" w:cs="黑体"/>
          <w:b/>
          <w:bCs/>
          <w:sz w:val="44"/>
          <w:szCs w:val="44"/>
        </w:rPr>
      </w:pPr>
      <w:r>
        <w:rPr>
          <w:rFonts w:hint="eastAsia" w:ascii="方正小标宋简体" w:hAnsi="方正小标宋简体" w:eastAsia="方正小标宋简体" w:cs="方正小标宋简体"/>
          <w:sz w:val="44"/>
          <w:szCs w:val="44"/>
        </w:rPr>
        <w:t>监督抽查实施细则</w:t>
      </w:r>
    </w:p>
    <w:p w14:paraId="740469A0">
      <w:pPr>
        <w:pStyle w:val="2"/>
        <w:keepNext w:val="0"/>
        <w:keepLines w:val="0"/>
        <w:pageBreakBefore w:val="0"/>
        <w:kinsoku/>
        <w:wordWrap/>
        <w:overflowPunct/>
        <w:topLinePunct w:val="0"/>
        <w:bidi w:val="0"/>
        <w:spacing w:line="560" w:lineRule="exact"/>
        <w:ind w:right="136" w:rightChars="65"/>
        <w:jc w:val="center"/>
        <w:textAlignment w:val="auto"/>
      </w:pPr>
      <w:r>
        <w:rPr>
          <w:rFonts w:hint="eastAsia" w:eastAsia="楷体_GB2312"/>
          <w:sz w:val="32"/>
          <w:szCs w:val="32"/>
        </w:rPr>
        <w:t>（202</w:t>
      </w:r>
      <w:r>
        <w:rPr>
          <w:rFonts w:eastAsia="楷体_GB2312"/>
          <w:sz w:val="32"/>
          <w:szCs w:val="32"/>
        </w:rPr>
        <w:t>5</w:t>
      </w:r>
      <w:r>
        <w:rPr>
          <w:rFonts w:hint="eastAsia" w:eastAsia="楷体_GB2312"/>
          <w:sz w:val="32"/>
          <w:szCs w:val="32"/>
        </w:rPr>
        <w:t>年版）</w:t>
      </w:r>
    </w:p>
    <w:p w14:paraId="1BCBC3D9">
      <w:pPr>
        <w:keepNext w:val="0"/>
        <w:keepLines w:val="0"/>
        <w:pageBreakBefore w:val="0"/>
        <w:kinsoku/>
        <w:wordWrap/>
        <w:overflowPunct/>
        <w:topLinePunct w:val="0"/>
        <w:bidi w:val="0"/>
        <w:spacing w:line="560" w:lineRule="exact"/>
        <w:ind w:right="136" w:rightChars="65" w:firstLine="600" w:firstLineChars="200"/>
        <w:textAlignment w:val="auto"/>
        <w:rPr>
          <w:rFonts w:hint="eastAsia" w:ascii="仿宋_GB2312" w:hAnsi="仿宋_GB2312" w:eastAsia="仿宋_GB2312" w:cs="仿宋_GB2312"/>
          <w:sz w:val="30"/>
          <w:szCs w:val="30"/>
        </w:rPr>
      </w:pPr>
      <w:r>
        <w:rPr>
          <w:rFonts w:hint="eastAsia" w:ascii="方正黑体_GBK" w:hAnsi="方正黑体_GBK" w:eastAsia="方正黑体_GBK" w:cs="方正黑体_GBK"/>
          <w:sz w:val="30"/>
          <w:szCs w:val="30"/>
        </w:rPr>
        <w:t>一、抽样方法</w:t>
      </w:r>
    </w:p>
    <w:p w14:paraId="19F7295C">
      <w:pPr>
        <w:keepNext w:val="0"/>
        <w:keepLines w:val="0"/>
        <w:pageBreakBefore w:val="0"/>
        <w:kinsoku/>
        <w:wordWrap/>
        <w:overflowPunct/>
        <w:topLinePunct w:val="0"/>
        <w:bidi w:val="0"/>
        <w:spacing w:line="560" w:lineRule="exact"/>
        <w:ind w:right="136" w:rightChars="65" w:firstLine="600" w:firstLineChars="200"/>
        <w:textAlignment w:val="auto"/>
        <w:rPr>
          <w:rFonts w:hint="eastAsia" w:ascii="仿宋_GB2312" w:hAnsi="仿宋_GB2312" w:eastAsia="仿宋_GB2312" w:cs="仿宋_GB2312"/>
          <w:spacing w:val="2"/>
          <w:sz w:val="30"/>
          <w:szCs w:val="30"/>
        </w:rPr>
      </w:pPr>
      <w:r>
        <w:rPr>
          <w:rFonts w:hint="eastAsia" w:ascii="仿宋_GB2312" w:hAnsi="仿宋_GB2312" w:eastAsia="仿宋_GB2312" w:cs="仿宋_GB2312"/>
          <w:sz w:val="30"/>
          <w:szCs w:val="30"/>
        </w:rPr>
        <w:t>抽取样品应为同一型号规格、同一批次的产品。所抽品种抽取库存产品中存量最大的产品。</w:t>
      </w:r>
      <w:r>
        <w:rPr>
          <w:rFonts w:hint="eastAsia" w:ascii="仿宋_GB2312" w:hAnsi="仿宋_GB2312" w:eastAsia="仿宋_GB2312" w:cs="仿宋_GB2312"/>
          <w:spacing w:val="2"/>
          <w:sz w:val="30"/>
          <w:szCs w:val="30"/>
        </w:rPr>
        <w:t>抽样数量如下表。</w:t>
      </w:r>
    </w:p>
    <w:tbl>
      <w:tblPr>
        <w:tblStyle w:val="5"/>
        <w:tblW w:w="8709" w:type="dxa"/>
        <w:jc w:val="center"/>
        <w:tblLayout w:type="fixed"/>
        <w:tblCellMar>
          <w:top w:w="0" w:type="dxa"/>
          <w:left w:w="0" w:type="dxa"/>
          <w:bottom w:w="0" w:type="dxa"/>
          <w:right w:w="0" w:type="dxa"/>
        </w:tblCellMar>
      </w:tblPr>
      <w:tblGrid>
        <w:gridCol w:w="2710"/>
        <w:gridCol w:w="3052"/>
        <w:gridCol w:w="2947"/>
      </w:tblGrid>
      <w:tr w14:paraId="71EE148D">
        <w:tblPrEx>
          <w:tblCellMar>
            <w:top w:w="0" w:type="dxa"/>
            <w:left w:w="0" w:type="dxa"/>
            <w:bottom w:w="0" w:type="dxa"/>
            <w:right w:w="0" w:type="dxa"/>
          </w:tblCellMar>
        </w:tblPrEx>
        <w:trPr>
          <w:trHeight w:val="23" w:hRule="atLeast"/>
          <w:jc w:val="center"/>
        </w:trPr>
        <w:tc>
          <w:tcPr>
            <w:tcW w:w="2710" w:type="dxa"/>
            <w:tcBorders>
              <w:top w:val="single" w:color="000000" w:sz="4" w:space="0"/>
              <w:left w:val="single" w:color="000000" w:sz="4" w:space="0"/>
              <w:bottom w:val="single" w:color="000000" w:sz="4" w:space="0"/>
              <w:right w:val="single" w:color="000000" w:sz="4" w:space="0"/>
            </w:tcBorders>
            <w:noWrap/>
            <w:vAlign w:val="center"/>
          </w:tcPr>
          <w:p w14:paraId="4354717A">
            <w:pPr>
              <w:keepNext w:val="0"/>
              <w:keepLines w:val="0"/>
              <w:pageBreakBefore w:val="0"/>
              <w:widowControl/>
              <w:kinsoku/>
              <w:wordWrap/>
              <w:overflowPunct/>
              <w:topLinePunct w:val="0"/>
              <w:bidi w:val="0"/>
              <w:snapToGrid w:val="0"/>
              <w:spacing w:line="560" w:lineRule="exact"/>
              <w:ind w:right="136" w:rightChars="65"/>
              <w:jc w:val="center"/>
              <w:textAlignment w:val="auto"/>
              <w:rPr>
                <w:rFonts w:ascii="宋体" w:hAnsi="宋体"/>
              </w:rPr>
            </w:pPr>
            <w:r>
              <w:rPr>
                <w:rFonts w:ascii="宋体" w:hAnsi="宋体"/>
              </w:rPr>
              <w:t>产品类别</w:t>
            </w:r>
          </w:p>
        </w:tc>
        <w:tc>
          <w:tcPr>
            <w:tcW w:w="3052" w:type="dxa"/>
            <w:tcBorders>
              <w:top w:val="single" w:color="000000" w:sz="4" w:space="0"/>
              <w:left w:val="single" w:color="000000" w:sz="4" w:space="0"/>
              <w:bottom w:val="single" w:color="000000" w:sz="4" w:space="0"/>
              <w:right w:val="single" w:color="000000" w:sz="4" w:space="0"/>
            </w:tcBorders>
            <w:noWrap/>
            <w:vAlign w:val="center"/>
          </w:tcPr>
          <w:p w14:paraId="16AD3262">
            <w:pPr>
              <w:keepNext w:val="0"/>
              <w:keepLines w:val="0"/>
              <w:pageBreakBefore w:val="0"/>
              <w:widowControl/>
              <w:kinsoku/>
              <w:wordWrap/>
              <w:overflowPunct/>
              <w:topLinePunct w:val="0"/>
              <w:bidi w:val="0"/>
              <w:snapToGrid w:val="0"/>
              <w:spacing w:line="560" w:lineRule="exact"/>
              <w:ind w:right="136" w:rightChars="65"/>
              <w:jc w:val="center"/>
              <w:textAlignment w:val="auto"/>
              <w:rPr>
                <w:rFonts w:ascii="宋体" w:hAnsi="宋体"/>
              </w:rPr>
            </w:pPr>
            <w:r>
              <w:rPr>
                <w:rFonts w:hint="eastAsia" w:ascii="宋体" w:hAnsi="宋体"/>
              </w:rPr>
              <w:t>检验</w:t>
            </w:r>
            <w:r>
              <w:rPr>
                <w:rFonts w:ascii="宋体" w:hAnsi="宋体"/>
              </w:rPr>
              <w:t>数量</w:t>
            </w:r>
          </w:p>
        </w:tc>
        <w:tc>
          <w:tcPr>
            <w:tcW w:w="2947" w:type="dxa"/>
            <w:tcBorders>
              <w:top w:val="single" w:color="000000" w:sz="4" w:space="0"/>
              <w:left w:val="single" w:color="000000" w:sz="4" w:space="0"/>
              <w:bottom w:val="single" w:color="000000" w:sz="4" w:space="0"/>
              <w:right w:val="single" w:color="000000" w:sz="4" w:space="0"/>
            </w:tcBorders>
            <w:noWrap/>
            <w:vAlign w:val="center"/>
          </w:tcPr>
          <w:p w14:paraId="346646B9">
            <w:pPr>
              <w:keepNext w:val="0"/>
              <w:keepLines w:val="0"/>
              <w:pageBreakBefore w:val="0"/>
              <w:widowControl/>
              <w:kinsoku/>
              <w:wordWrap/>
              <w:overflowPunct/>
              <w:topLinePunct w:val="0"/>
              <w:bidi w:val="0"/>
              <w:snapToGrid w:val="0"/>
              <w:spacing w:line="560" w:lineRule="exact"/>
              <w:ind w:right="136" w:rightChars="65"/>
              <w:jc w:val="center"/>
              <w:textAlignment w:val="auto"/>
              <w:rPr>
                <w:rFonts w:ascii="宋体" w:hAnsi="宋体"/>
              </w:rPr>
            </w:pPr>
            <w:r>
              <w:rPr>
                <w:rFonts w:hint="eastAsia" w:ascii="宋体" w:hAnsi="宋体"/>
              </w:rPr>
              <w:t>备用</w:t>
            </w:r>
            <w:r>
              <w:rPr>
                <w:rFonts w:ascii="宋体" w:hAnsi="宋体"/>
              </w:rPr>
              <w:t>数量</w:t>
            </w:r>
          </w:p>
        </w:tc>
      </w:tr>
      <w:tr w14:paraId="7B5E260F">
        <w:tblPrEx>
          <w:tblCellMar>
            <w:top w:w="0" w:type="dxa"/>
            <w:left w:w="0" w:type="dxa"/>
            <w:bottom w:w="0" w:type="dxa"/>
            <w:right w:w="0" w:type="dxa"/>
          </w:tblCellMar>
        </w:tblPrEx>
        <w:trPr>
          <w:trHeight w:val="23" w:hRule="atLeast"/>
          <w:jc w:val="center"/>
        </w:trPr>
        <w:tc>
          <w:tcPr>
            <w:tcW w:w="2710" w:type="dxa"/>
            <w:tcBorders>
              <w:top w:val="single" w:color="000000" w:sz="4" w:space="0"/>
              <w:left w:val="single" w:color="000000" w:sz="4" w:space="0"/>
              <w:bottom w:val="single" w:color="000000" w:sz="4" w:space="0"/>
              <w:right w:val="single" w:color="000000" w:sz="4" w:space="0"/>
            </w:tcBorders>
            <w:noWrap/>
            <w:vAlign w:val="top"/>
          </w:tcPr>
          <w:p w14:paraId="05A5B510">
            <w:pPr>
              <w:keepNext w:val="0"/>
              <w:keepLines w:val="0"/>
              <w:pageBreakBefore w:val="0"/>
              <w:widowControl/>
              <w:kinsoku/>
              <w:wordWrap/>
              <w:overflowPunct/>
              <w:topLinePunct w:val="0"/>
              <w:bidi w:val="0"/>
              <w:snapToGrid w:val="0"/>
              <w:spacing w:line="560" w:lineRule="exact"/>
              <w:ind w:right="136" w:rightChars="65"/>
              <w:jc w:val="center"/>
              <w:textAlignment w:val="auto"/>
              <w:rPr>
                <w:rFonts w:hint="eastAsia" w:ascii="宋体" w:hAnsi="宋体"/>
              </w:rPr>
            </w:pPr>
            <w:r>
              <w:rPr>
                <w:rFonts w:hint="eastAsia" w:ascii="宋体" w:hAnsi="宋体"/>
                <w:kern w:val="0"/>
              </w:rPr>
              <w:t>复合肥料</w:t>
            </w:r>
          </w:p>
        </w:tc>
        <w:tc>
          <w:tcPr>
            <w:tcW w:w="3052" w:type="dxa"/>
            <w:tcBorders>
              <w:top w:val="single" w:color="000000" w:sz="4" w:space="0"/>
              <w:left w:val="single" w:color="000000" w:sz="4" w:space="0"/>
              <w:bottom w:val="single" w:color="000000" w:sz="4" w:space="0"/>
              <w:right w:val="single" w:color="000000" w:sz="4" w:space="0"/>
            </w:tcBorders>
            <w:noWrap/>
            <w:vAlign w:val="top"/>
          </w:tcPr>
          <w:p w14:paraId="430DA88D">
            <w:pPr>
              <w:keepNext w:val="0"/>
              <w:keepLines w:val="0"/>
              <w:pageBreakBefore w:val="0"/>
              <w:widowControl/>
              <w:kinsoku/>
              <w:wordWrap/>
              <w:overflowPunct/>
              <w:topLinePunct w:val="0"/>
              <w:bidi w:val="0"/>
              <w:snapToGrid w:val="0"/>
              <w:spacing w:line="560" w:lineRule="exact"/>
              <w:ind w:right="136" w:rightChars="65"/>
              <w:jc w:val="center"/>
              <w:textAlignment w:val="auto"/>
              <w:rPr>
                <w:rFonts w:ascii="宋体" w:hAnsi="宋体"/>
              </w:rPr>
            </w:pPr>
            <w:r>
              <w:rPr>
                <w:rFonts w:hint="eastAsia" w:ascii="宋体" w:hAnsi="宋体"/>
                <w:kern w:val="0"/>
              </w:rPr>
              <w:t>0</w:t>
            </w:r>
            <w:r>
              <w:rPr>
                <w:rFonts w:ascii="宋体" w:hAnsi="宋体"/>
                <w:kern w:val="0"/>
              </w:rPr>
              <w:t>.5kg</w:t>
            </w:r>
          </w:p>
        </w:tc>
        <w:tc>
          <w:tcPr>
            <w:tcW w:w="2947" w:type="dxa"/>
            <w:tcBorders>
              <w:top w:val="single" w:color="000000" w:sz="4" w:space="0"/>
              <w:left w:val="single" w:color="000000" w:sz="4" w:space="0"/>
              <w:bottom w:val="single" w:color="000000" w:sz="4" w:space="0"/>
              <w:right w:val="single" w:color="000000" w:sz="4" w:space="0"/>
            </w:tcBorders>
            <w:noWrap/>
            <w:vAlign w:val="top"/>
          </w:tcPr>
          <w:p w14:paraId="6753E823">
            <w:pPr>
              <w:keepNext w:val="0"/>
              <w:keepLines w:val="0"/>
              <w:pageBreakBefore w:val="0"/>
              <w:widowControl/>
              <w:kinsoku/>
              <w:wordWrap/>
              <w:overflowPunct/>
              <w:topLinePunct w:val="0"/>
              <w:bidi w:val="0"/>
              <w:snapToGrid w:val="0"/>
              <w:spacing w:line="560" w:lineRule="exact"/>
              <w:ind w:right="136" w:rightChars="65"/>
              <w:jc w:val="center"/>
              <w:textAlignment w:val="auto"/>
              <w:rPr>
                <w:rFonts w:ascii="宋体" w:hAnsi="宋体"/>
              </w:rPr>
            </w:pPr>
            <w:r>
              <w:rPr>
                <w:rFonts w:ascii="宋体" w:hAnsi="宋体"/>
                <w:kern w:val="0"/>
              </w:rPr>
              <w:t>1.</w:t>
            </w:r>
            <w:r>
              <w:rPr>
                <w:rFonts w:hint="eastAsia" w:ascii="宋体" w:hAnsi="宋体"/>
                <w:kern w:val="0"/>
              </w:rPr>
              <w:t>0</w:t>
            </w:r>
            <w:r>
              <w:rPr>
                <w:rFonts w:ascii="宋体" w:hAnsi="宋体"/>
                <w:kern w:val="0"/>
              </w:rPr>
              <w:t>kg</w:t>
            </w:r>
          </w:p>
        </w:tc>
      </w:tr>
      <w:tr w14:paraId="59165FC1">
        <w:tblPrEx>
          <w:tblCellMar>
            <w:top w:w="0" w:type="dxa"/>
            <w:left w:w="0" w:type="dxa"/>
            <w:bottom w:w="0" w:type="dxa"/>
            <w:right w:w="0" w:type="dxa"/>
          </w:tblCellMar>
        </w:tblPrEx>
        <w:trPr>
          <w:trHeight w:val="429" w:hRule="atLeast"/>
          <w:jc w:val="center"/>
        </w:trPr>
        <w:tc>
          <w:tcPr>
            <w:tcW w:w="8709" w:type="dxa"/>
            <w:gridSpan w:val="3"/>
            <w:tcBorders>
              <w:top w:val="single" w:color="000000" w:sz="4" w:space="0"/>
              <w:left w:val="single" w:color="000000" w:sz="4" w:space="0"/>
              <w:bottom w:val="single" w:color="000000" w:sz="4" w:space="0"/>
              <w:right w:val="single" w:color="000000" w:sz="4" w:space="0"/>
            </w:tcBorders>
            <w:noWrap/>
            <w:vAlign w:val="top"/>
          </w:tcPr>
          <w:p w14:paraId="65CEE449">
            <w:pPr>
              <w:keepNext w:val="0"/>
              <w:keepLines w:val="0"/>
              <w:pageBreakBefore w:val="0"/>
              <w:widowControl/>
              <w:kinsoku/>
              <w:wordWrap/>
              <w:overflowPunct/>
              <w:topLinePunct w:val="0"/>
              <w:bidi w:val="0"/>
              <w:snapToGrid w:val="0"/>
              <w:spacing w:line="560" w:lineRule="exact"/>
              <w:ind w:right="136" w:rightChars="65"/>
              <w:jc w:val="left"/>
              <w:textAlignment w:val="auto"/>
              <w:rPr>
                <w:rFonts w:ascii="宋体" w:hAnsi="宋体"/>
              </w:rPr>
            </w:pPr>
            <w:r>
              <w:rPr>
                <w:rFonts w:ascii="宋体" w:hAnsi="宋体"/>
              </w:rPr>
              <w:t>备注：</w:t>
            </w:r>
            <w:r>
              <w:rPr>
                <w:rFonts w:hint="eastAsia" w:ascii="宋体" w:hAnsi="宋体"/>
              </w:rPr>
              <w:t>抽样规则见下表。</w:t>
            </w:r>
          </w:p>
        </w:tc>
      </w:tr>
    </w:tbl>
    <w:p w14:paraId="6BE6A852">
      <w:pPr>
        <w:keepNext w:val="0"/>
        <w:keepLines w:val="0"/>
        <w:pageBreakBefore w:val="0"/>
        <w:kinsoku/>
        <w:wordWrap/>
        <w:overflowPunct/>
        <w:topLinePunct w:val="0"/>
        <w:bidi w:val="0"/>
        <w:spacing w:line="560" w:lineRule="exact"/>
        <w:ind w:right="136" w:rightChars="65"/>
        <w:jc w:val="center"/>
        <w:textAlignment w:val="auto"/>
        <w:rPr>
          <w:rFonts w:ascii="宋体" w:hAnsi="宋体"/>
          <w:sz w:val="18"/>
          <w:szCs w:val="18"/>
        </w:rPr>
      </w:pPr>
    </w:p>
    <w:tbl>
      <w:tblPr>
        <w:tblStyle w:val="5"/>
        <w:tblW w:w="8677" w:type="dxa"/>
        <w:jc w:val="center"/>
        <w:tblLayout w:type="fixed"/>
        <w:tblCellMar>
          <w:top w:w="0" w:type="dxa"/>
          <w:left w:w="108" w:type="dxa"/>
          <w:bottom w:w="0" w:type="dxa"/>
          <w:right w:w="108" w:type="dxa"/>
        </w:tblCellMar>
      </w:tblPr>
      <w:tblGrid>
        <w:gridCol w:w="2053"/>
        <w:gridCol w:w="2268"/>
        <w:gridCol w:w="2126"/>
        <w:gridCol w:w="2230"/>
      </w:tblGrid>
      <w:tr w14:paraId="7A628754">
        <w:tblPrEx>
          <w:tblCellMar>
            <w:top w:w="0" w:type="dxa"/>
            <w:left w:w="108" w:type="dxa"/>
            <w:bottom w:w="0" w:type="dxa"/>
            <w:right w:w="108" w:type="dxa"/>
          </w:tblCellMar>
        </w:tblPrEx>
        <w:trPr>
          <w:trHeight w:val="340" w:hRule="atLeast"/>
          <w:jc w:val="center"/>
        </w:trPr>
        <w:tc>
          <w:tcPr>
            <w:tcW w:w="2053" w:type="dxa"/>
            <w:tcBorders>
              <w:top w:val="single" w:color="auto" w:sz="4" w:space="0"/>
              <w:left w:val="single" w:color="auto" w:sz="4" w:space="0"/>
              <w:bottom w:val="single" w:color="auto" w:sz="4" w:space="0"/>
              <w:right w:val="single" w:color="auto" w:sz="4" w:space="0"/>
            </w:tcBorders>
            <w:noWrap w:val="0"/>
            <w:vAlign w:val="center"/>
          </w:tcPr>
          <w:p w14:paraId="3E5E1F1F">
            <w:pPr>
              <w:keepNext w:val="0"/>
              <w:keepLines w:val="0"/>
              <w:pageBreakBefore w:val="0"/>
              <w:kinsoku/>
              <w:wordWrap/>
              <w:overflowPunct/>
              <w:topLinePunct w:val="0"/>
              <w:bidi w:val="0"/>
              <w:snapToGrid w:val="0"/>
              <w:spacing w:line="560" w:lineRule="exact"/>
              <w:ind w:right="136" w:rightChars="65"/>
              <w:jc w:val="center"/>
              <w:textAlignment w:val="auto"/>
              <w:rPr>
                <w:rFonts w:ascii="宋体" w:hAnsi="宋体"/>
              </w:rPr>
            </w:pPr>
            <w:r>
              <w:rPr>
                <w:rFonts w:ascii="宋体" w:hAnsi="宋体"/>
              </w:rPr>
              <w:t>包装袋数</w:t>
            </w:r>
          </w:p>
        </w:tc>
        <w:tc>
          <w:tcPr>
            <w:tcW w:w="2268" w:type="dxa"/>
            <w:tcBorders>
              <w:top w:val="single" w:color="auto" w:sz="4" w:space="0"/>
              <w:left w:val="nil"/>
              <w:bottom w:val="single" w:color="auto" w:sz="4" w:space="0"/>
              <w:right w:val="single" w:color="auto" w:sz="4" w:space="0"/>
            </w:tcBorders>
            <w:noWrap w:val="0"/>
            <w:vAlign w:val="center"/>
          </w:tcPr>
          <w:p w14:paraId="602D68F6">
            <w:pPr>
              <w:keepNext w:val="0"/>
              <w:keepLines w:val="0"/>
              <w:pageBreakBefore w:val="0"/>
              <w:kinsoku/>
              <w:wordWrap/>
              <w:overflowPunct/>
              <w:topLinePunct w:val="0"/>
              <w:bidi w:val="0"/>
              <w:snapToGrid w:val="0"/>
              <w:spacing w:line="560" w:lineRule="exact"/>
              <w:ind w:right="136" w:rightChars="65" w:firstLine="4"/>
              <w:jc w:val="center"/>
              <w:textAlignment w:val="auto"/>
              <w:rPr>
                <w:rFonts w:ascii="宋体" w:hAnsi="宋体"/>
              </w:rPr>
            </w:pPr>
            <w:r>
              <w:rPr>
                <w:rFonts w:ascii="宋体" w:hAnsi="宋体"/>
              </w:rPr>
              <w:t>最少抽样袋数</w:t>
            </w:r>
          </w:p>
        </w:tc>
        <w:tc>
          <w:tcPr>
            <w:tcW w:w="2126" w:type="dxa"/>
            <w:tcBorders>
              <w:top w:val="single" w:color="auto" w:sz="4" w:space="0"/>
              <w:left w:val="single" w:color="auto" w:sz="4" w:space="0"/>
              <w:bottom w:val="single" w:color="auto" w:sz="4" w:space="0"/>
              <w:right w:val="single" w:color="auto" w:sz="4" w:space="0"/>
            </w:tcBorders>
            <w:noWrap w:val="0"/>
            <w:vAlign w:val="center"/>
          </w:tcPr>
          <w:p w14:paraId="3C639BEB">
            <w:pPr>
              <w:keepNext w:val="0"/>
              <w:keepLines w:val="0"/>
              <w:pageBreakBefore w:val="0"/>
              <w:kinsoku/>
              <w:wordWrap/>
              <w:overflowPunct/>
              <w:topLinePunct w:val="0"/>
              <w:bidi w:val="0"/>
              <w:snapToGrid w:val="0"/>
              <w:spacing w:line="560" w:lineRule="exact"/>
              <w:ind w:right="136" w:rightChars="65" w:firstLine="4"/>
              <w:jc w:val="center"/>
              <w:textAlignment w:val="auto"/>
              <w:rPr>
                <w:rFonts w:ascii="宋体" w:hAnsi="宋体"/>
              </w:rPr>
            </w:pPr>
            <w:r>
              <w:rPr>
                <w:rFonts w:ascii="宋体" w:hAnsi="宋体"/>
              </w:rPr>
              <w:t>包装袋数</w:t>
            </w:r>
          </w:p>
        </w:tc>
        <w:tc>
          <w:tcPr>
            <w:tcW w:w="2230" w:type="dxa"/>
            <w:tcBorders>
              <w:top w:val="single" w:color="auto" w:sz="4" w:space="0"/>
              <w:left w:val="nil"/>
              <w:bottom w:val="single" w:color="auto" w:sz="4" w:space="0"/>
              <w:right w:val="single" w:color="auto" w:sz="4" w:space="0"/>
            </w:tcBorders>
            <w:noWrap w:val="0"/>
            <w:vAlign w:val="center"/>
          </w:tcPr>
          <w:p w14:paraId="28C8129D">
            <w:pPr>
              <w:keepNext w:val="0"/>
              <w:keepLines w:val="0"/>
              <w:pageBreakBefore w:val="0"/>
              <w:kinsoku/>
              <w:wordWrap/>
              <w:overflowPunct/>
              <w:topLinePunct w:val="0"/>
              <w:bidi w:val="0"/>
              <w:snapToGrid w:val="0"/>
              <w:spacing w:line="560" w:lineRule="exact"/>
              <w:ind w:right="136" w:rightChars="65" w:firstLine="4"/>
              <w:jc w:val="center"/>
              <w:textAlignment w:val="auto"/>
              <w:rPr>
                <w:rFonts w:ascii="宋体" w:hAnsi="宋体"/>
              </w:rPr>
            </w:pPr>
            <w:r>
              <w:rPr>
                <w:rFonts w:ascii="宋体" w:hAnsi="宋体"/>
              </w:rPr>
              <w:t>最少抽样袋数</w:t>
            </w:r>
          </w:p>
        </w:tc>
      </w:tr>
      <w:tr w14:paraId="6C37510C">
        <w:tblPrEx>
          <w:tblCellMar>
            <w:top w:w="0" w:type="dxa"/>
            <w:left w:w="108" w:type="dxa"/>
            <w:bottom w:w="0" w:type="dxa"/>
            <w:right w:w="108" w:type="dxa"/>
          </w:tblCellMar>
        </w:tblPrEx>
        <w:trPr>
          <w:trHeight w:val="340" w:hRule="atLeast"/>
          <w:jc w:val="center"/>
        </w:trPr>
        <w:tc>
          <w:tcPr>
            <w:tcW w:w="2053" w:type="dxa"/>
            <w:tcBorders>
              <w:top w:val="single" w:color="auto" w:sz="4" w:space="0"/>
              <w:left w:val="single" w:color="auto" w:sz="4" w:space="0"/>
              <w:bottom w:val="single" w:color="auto" w:sz="4" w:space="0"/>
              <w:right w:val="single" w:color="auto" w:sz="4" w:space="0"/>
            </w:tcBorders>
            <w:noWrap w:val="0"/>
            <w:vAlign w:val="center"/>
          </w:tcPr>
          <w:p w14:paraId="76DE089B">
            <w:pPr>
              <w:keepNext w:val="0"/>
              <w:keepLines w:val="0"/>
              <w:pageBreakBefore w:val="0"/>
              <w:kinsoku/>
              <w:wordWrap/>
              <w:overflowPunct/>
              <w:topLinePunct w:val="0"/>
              <w:bidi w:val="0"/>
              <w:snapToGrid w:val="0"/>
              <w:spacing w:line="560" w:lineRule="exact"/>
              <w:ind w:right="136" w:rightChars="65" w:firstLine="67"/>
              <w:jc w:val="center"/>
              <w:textAlignment w:val="auto"/>
              <w:rPr>
                <w:rFonts w:ascii="宋体" w:hAnsi="宋体"/>
              </w:rPr>
            </w:pPr>
            <w:r>
              <w:rPr>
                <w:rFonts w:ascii="宋体" w:hAnsi="宋体"/>
              </w:rPr>
              <w:t>1～10</w:t>
            </w:r>
          </w:p>
        </w:tc>
        <w:tc>
          <w:tcPr>
            <w:tcW w:w="2268" w:type="dxa"/>
            <w:tcBorders>
              <w:top w:val="single" w:color="auto" w:sz="4" w:space="0"/>
              <w:left w:val="nil"/>
              <w:bottom w:val="single" w:color="auto" w:sz="4" w:space="0"/>
              <w:right w:val="single" w:color="auto" w:sz="4" w:space="0"/>
            </w:tcBorders>
            <w:noWrap w:val="0"/>
            <w:vAlign w:val="center"/>
          </w:tcPr>
          <w:p w14:paraId="0370B52F">
            <w:pPr>
              <w:keepNext w:val="0"/>
              <w:keepLines w:val="0"/>
              <w:pageBreakBefore w:val="0"/>
              <w:kinsoku/>
              <w:wordWrap/>
              <w:overflowPunct/>
              <w:topLinePunct w:val="0"/>
              <w:bidi w:val="0"/>
              <w:snapToGrid w:val="0"/>
              <w:spacing w:line="560" w:lineRule="exact"/>
              <w:ind w:right="136" w:rightChars="65" w:firstLine="4"/>
              <w:jc w:val="center"/>
              <w:textAlignment w:val="auto"/>
              <w:rPr>
                <w:rFonts w:ascii="宋体" w:hAnsi="宋体"/>
              </w:rPr>
            </w:pPr>
            <w:r>
              <w:rPr>
                <w:rFonts w:ascii="宋体" w:hAnsi="宋体"/>
              </w:rPr>
              <w:t>全部</w:t>
            </w:r>
          </w:p>
        </w:tc>
        <w:tc>
          <w:tcPr>
            <w:tcW w:w="2126" w:type="dxa"/>
            <w:tcBorders>
              <w:top w:val="single" w:color="auto" w:sz="4" w:space="0"/>
              <w:left w:val="single" w:color="auto" w:sz="4" w:space="0"/>
              <w:bottom w:val="single" w:color="auto" w:sz="4" w:space="0"/>
              <w:right w:val="single" w:color="auto" w:sz="4" w:space="0"/>
            </w:tcBorders>
            <w:noWrap w:val="0"/>
            <w:vAlign w:val="center"/>
          </w:tcPr>
          <w:p w14:paraId="19B1441C">
            <w:pPr>
              <w:keepNext w:val="0"/>
              <w:keepLines w:val="0"/>
              <w:pageBreakBefore w:val="0"/>
              <w:kinsoku/>
              <w:wordWrap/>
              <w:overflowPunct/>
              <w:topLinePunct w:val="0"/>
              <w:bidi w:val="0"/>
              <w:snapToGrid w:val="0"/>
              <w:spacing w:line="560" w:lineRule="exact"/>
              <w:ind w:right="136" w:rightChars="65" w:firstLine="4"/>
              <w:jc w:val="center"/>
              <w:textAlignment w:val="auto"/>
              <w:rPr>
                <w:rFonts w:ascii="宋体" w:hAnsi="宋体"/>
              </w:rPr>
            </w:pPr>
            <w:r>
              <w:rPr>
                <w:rFonts w:ascii="宋体" w:hAnsi="宋体"/>
              </w:rPr>
              <w:t>182～216</w:t>
            </w:r>
          </w:p>
        </w:tc>
        <w:tc>
          <w:tcPr>
            <w:tcW w:w="2230" w:type="dxa"/>
            <w:tcBorders>
              <w:top w:val="single" w:color="auto" w:sz="4" w:space="0"/>
              <w:left w:val="nil"/>
              <w:bottom w:val="single" w:color="auto" w:sz="4" w:space="0"/>
              <w:right w:val="single" w:color="auto" w:sz="4" w:space="0"/>
            </w:tcBorders>
            <w:noWrap w:val="0"/>
            <w:vAlign w:val="center"/>
          </w:tcPr>
          <w:p w14:paraId="557B4C97">
            <w:pPr>
              <w:keepNext w:val="0"/>
              <w:keepLines w:val="0"/>
              <w:pageBreakBefore w:val="0"/>
              <w:kinsoku/>
              <w:wordWrap/>
              <w:overflowPunct/>
              <w:topLinePunct w:val="0"/>
              <w:bidi w:val="0"/>
              <w:snapToGrid w:val="0"/>
              <w:spacing w:line="560" w:lineRule="exact"/>
              <w:ind w:right="136" w:rightChars="65" w:firstLine="4"/>
              <w:jc w:val="center"/>
              <w:textAlignment w:val="auto"/>
              <w:rPr>
                <w:rFonts w:ascii="宋体" w:hAnsi="宋体"/>
              </w:rPr>
            </w:pPr>
            <w:r>
              <w:rPr>
                <w:rFonts w:ascii="宋体" w:hAnsi="宋体"/>
              </w:rPr>
              <w:t>18</w:t>
            </w:r>
          </w:p>
        </w:tc>
      </w:tr>
      <w:tr w14:paraId="3F4E8414">
        <w:tblPrEx>
          <w:tblCellMar>
            <w:top w:w="0" w:type="dxa"/>
            <w:left w:w="108" w:type="dxa"/>
            <w:bottom w:w="0" w:type="dxa"/>
            <w:right w:w="108" w:type="dxa"/>
          </w:tblCellMar>
        </w:tblPrEx>
        <w:trPr>
          <w:trHeight w:val="340" w:hRule="atLeast"/>
          <w:jc w:val="center"/>
        </w:trPr>
        <w:tc>
          <w:tcPr>
            <w:tcW w:w="2053" w:type="dxa"/>
            <w:tcBorders>
              <w:top w:val="single" w:color="auto" w:sz="4" w:space="0"/>
              <w:left w:val="single" w:color="auto" w:sz="4" w:space="0"/>
              <w:bottom w:val="single" w:color="auto" w:sz="4" w:space="0"/>
              <w:right w:val="single" w:color="auto" w:sz="4" w:space="0"/>
            </w:tcBorders>
            <w:noWrap w:val="0"/>
            <w:vAlign w:val="center"/>
          </w:tcPr>
          <w:p w14:paraId="526E4F3F">
            <w:pPr>
              <w:keepNext w:val="0"/>
              <w:keepLines w:val="0"/>
              <w:pageBreakBefore w:val="0"/>
              <w:kinsoku/>
              <w:wordWrap/>
              <w:overflowPunct/>
              <w:topLinePunct w:val="0"/>
              <w:bidi w:val="0"/>
              <w:snapToGrid w:val="0"/>
              <w:spacing w:line="560" w:lineRule="exact"/>
              <w:ind w:right="136" w:rightChars="65" w:firstLine="67"/>
              <w:jc w:val="center"/>
              <w:textAlignment w:val="auto"/>
              <w:rPr>
                <w:rFonts w:ascii="宋体" w:hAnsi="宋体"/>
              </w:rPr>
            </w:pPr>
            <w:r>
              <w:rPr>
                <w:rFonts w:ascii="宋体" w:hAnsi="宋体"/>
              </w:rPr>
              <w:t>11～49</w:t>
            </w:r>
          </w:p>
        </w:tc>
        <w:tc>
          <w:tcPr>
            <w:tcW w:w="2268" w:type="dxa"/>
            <w:tcBorders>
              <w:top w:val="single" w:color="auto" w:sz="4" w:space="0"/>
              <w:left w:val="nil"/>
              <w:bottom w:val="single" w:color="auto" w:sz="4" w:space="0"/>
              <w:right w:val="single" w:color="auto" w:sz="4" w:space="0"/>
            </w:tcBorders>
            <w:noWrap w:val="0"/>
            <w:vAlign w:val="center"/>
          </w:tcPr>
          <w:p w14:paraId="4889EDFF">
            <w:pPr>
              <w:keepNext w:val="0"/>
              <w:keepLines w:val="0"/>
              <w:pageBreakBefore w:val="0"/>
              <w:kinsoku/>
              <w:wordWrap/>
              <w:overflowPunct/>
              <w:topLinePunct w:val="0"/>
              <w:bidi w:val="0"/>
              <w:snapToGrid w:val="0"/>
              <w:spacing w:line="560" w:lineRule="exact"/>
              <w:ind w:right="136" w:rightChars="65" w:firstLine="4"/>
              <w:jc w:val="center"/>
              <w:textAlignment w:val="auto"/>
              <w:rPr>
                <w:rFonts w:ascii="宋体" w:hAnsi="宋体"/>
              </w:rPr>
            </w:pPr>
            <w:r>
              <w:rPr>
                <w:rFonts w:ascii="宋体" w:hAnsi="宋体"/>
              </w:rPr>
              <w:t>11</w:t>
            </w:r>
          </w:p>
        </w:tc>
        <w:tc>
          <w:tcPr>
            <w:tcW w:w="2126" w:type="dxa"/>
            <w:tcBorders>
              <w:top w:val="single" w:color="auto" w:sz="4" w:space="0"/>
              <w:left w:val="single" w:color="auto" w:sz="4" w:space="0"/>
              <w:bottom w:val="single" w:color="auto" w:sz="4" w:space="0"/>
              <w:right w:val="single" w:color="auto" w:sz="4" w:space="0"/>
            </w:tcBorders>
            <w:noWrap w:val="0"/>
            <w:vAlign w:val="center"/>
          </w:tcPr>
          <w:p w14:paraId="13B12A3E">
            <w:pPr>
              <w:keepNext w:val="0"/>
              <w:keepLines w:val="0"/>
              <w:pageBreakBefore w:val="0"/>
              <w:kinsoku/>
              <w:wordWrap/>
              <w:overflowPunct/>
              <w:topLinePunct w:val="0"/>
              <w:bidi w:val="0"/>
              <w:snapToGrid w:val="0"/>
              <w:spacing w:line="560" w:lineRule="exact"/>
              <w:ind w:right="136" w:rightChars="65" w:firstLine="4"/>
              <w:jc w:val="center"/>
              <w:textAlignment w:val="auto"/>
              <w:rPr>
                <w:rFonts w:ascii="宋体" w:hAnsi="宋体"/>
              </w:rPr>
            </w:pPr>
            <w:r>
              <w:rPr>
                <w:rFonts w:ascii="宋体" w:hAnsi="宋体"/>
              </w:rPr>
              <w:t>217～254</w:t>
            </w:r>
          </w:p>
        </w:tc>
        <w:tc>
          <w:tcPr>
            <w:tcW w:w="2230" w:type="dxa"/>
            <w:tcBorders>
              <w:top w:val="single" w:color="auto" w:sz="4" w:space="0"/>
              <w:left w:val="nil"/>
              <w:bottom w:val="single" w:color="auto" w:sz="4" w:space="0"/>
              <w:right w:val="single" w:color="auto" w:sz="4" w:space="0"/>
            </w:tcBorders>
            <w:noWrap w:val="0"/>
            <w:vAlign w:val="center"/>
          </w:tcPr>
          <w:p w14:paraId="34B8053F">
            <w:pPr>
              <w:keepNext w:val="0"/>
              <w:keepLines w:val="0"/>
              <w:pageBreakBefore w:val="0"/>
              <w:kinsoku/>
              <w:wordWrap/>
              <w:overflowPunct/>
              <w:topLinePunct w:val="0"/>
              <w:bidi w:val="0"/>
              <w:snapToGrid w:val="0"/>
              <w:spacing w:line="560" w:lineRule="exact"/>
              <w:ind w:right="136" w:rightChars="65" w:firstLine="4"/>
              <w:jc w:val="center"/>
              <w:textAlignment w:val="auto"/>
              <w:rPr>
                <w:rFonts w:ascii="宋体" w:hAnsi="宋体"/>
              </w:rPr>
            </w:pPr>
            <w:r>
              <w:rPr>
                <w:rFonts w:ascii="宋体" w:hAnsi="宋体"/>
              </w:rPr>
              <w:t>19</w:t>
            </w:r>
          </w:p>
        </w:tc>
      </w:tr>
      <w:tr w14:paraId="2569B4A1">
        <w:tblPrEx>
          <w:tblCellMar>
            <w:top w:w="0" w:type="dxa"/>
            <w:left w:w="108" w:type="dxa"/>
            <w:bottom w:w="0" w:type="dxa"/>
            <w:right w:w="108" w:type="dxa"/>
          </w:tblCellMar>
        </w:tblPrEx>
        <w:trPr>
          <w:trHeight w:val="340" w:hRule="atLeast"/>
          <w:jc w:val="center"/>
        </w:trPr>
        <w:tc>
          <w:tcPr>
            <w:tcW w:w="2053" w:type="dxa"/>
            <w:tcBorders>
              <w:top w:val="single" w:color="auto" w:sz="4" w:space="0"/>
              <w:left w:val="single" w:color="auto" w:sz="4" w:space="0"/>
              <w:bottom w:val="single" w:color="auto" w:sz="4" w:space="0"/>
              <w:right w:val="single" w:color="auto" w:sz="4" w:space="0"/>
            </w:tcBorders>
            <w:noWrap w:val="0"/>
            <w:vAlign w:val="center"/>
          </w:tcPr>
          <w:p w14:paraId="6A1D863B">
            <w:pPr>
              <w:keepNext w:val="0"/>
              <w:keepLines w:val="0"/>
              <w:pageBreakBefore w:val="0"/>
              <w:kinsoku/>
              <w:wordWrap/>
              <w:overflowPunct/>
              <w:topLinePunct w:val="0"/>
              <w:bidi w:val="0"/>
              <w:snapToGrid w:val="0"/>
              <w:spacing w:line="560" w:lineRule="exact"/>
              <w:ind w:right="136" w:rightChars="65" w:firstLine="67"/>
              <w:jc w:val="center"/>
              <w:textAlignment w:val="auto"/>
              <w:rPr>
                <w:rFonts w:ascii="宋体" w:hAnsi="宋体"/>
              </w:rPr>
            </w:pPr>
            <w:r>
              <w:rPr>
                <w:rFonts w:ascii="宋体" w:hAnsi="宋体"/>
              </w:rPr>
              <w:t>50～64</w:t>
            </w:r>
          </w:p>
        </w:tc>
        <w:tc>
          <w:tcPr>
            <w:tcW w:w="2268" w:type="dxa"/>
            <w:tcBorders>
              <w:top w:val="single" w:color="auto" w:sz="4" w:space="0"/>
              <w:left w:val="nil"/>
              <w:bottom w:val="single" w:color="auto" w:sz="4" w:space="0"/>
              <w:right w:val="single" w:color="auto" w:sz="4" w:space="0"/>
            </w:tcBorders>
            <w:noWrap w:val="0"/>
            <w:vAlign w:val="center"/>
          </w:tcPr>
          <w:p w14:paraId="097C901C">
            <w:pPr>
              <w:keepNext w:val="0"/>
              <w:keepLines w:val="0"/>
              <w:pageBreakBefore w:val="0"/>
              <w:kinsoku/>
              <w:wordWrap/>
              <w:overflowPunct/>
              <w:topLinePunct w:val="0"/>
              <w:bidi w:val="0"/>
              <w:snapToGrid w:val="0"/>
              <w:spacing w:line="560" w:lineRule="exact"/>
              <w:ind w:right="136" w:rightChars="65" w:firstLine="4"/>
              <w:jc w:val="center"/>
              <w:textAlignment w:val="auto"/>
              <w:rPr>
                <w:rFonts w:ascii="宋体" w:hAnsi="宋体"/>
              </w:rPr>
            </w:pPr>
            <w:r>
              <w:rPr>
                <w:rFonts w:ascii="宋体" w:hAnsi="宋体"/>
              </w:rPr>
              <w:t>12</w:t>
            </w:r>
          </w:p>
        </w:tc>
        <w:tc>
          <w:tcPr>
            <w:tcW w:w="2126" w:type="dxa"/>
            <w:tcBorders>
              <w:top w:val="single" w:color="auto" w:sz="4" w:space="0"/>
              <w:left w:val="single" w:color="auto" w:sz="4" w:space="0"/>
              <w:bottom w:val="single" w:color="auto" w:sz="4" w:space="0"/>
              <w:right w:val="single" w:color="auto" w:sz="4" w:space="0"/>
            </w:tcBorders>
            <w:noWrap w:val="0"/>
            <w:vAlign w:val="center"/>
          </w:tcPr>
          <w:p w14:paraId="00198825">
            <w:pPr>
              <w:keepNext w:val="0"/>
              <w:keepLines w:val="0"/>
              <w:pageBreakBefore w:val="0"/>
              <w:kinsoku/>
              <w:wordWrap/>
              <w:overflowPunct/>
              <w:topLinePunct w:val="0"/>
              <w:bidi w:val="0"/>
              <w:snapToGrid w:val="0"/>
              <w:spacing w:line="560" w:lineRule="exact"/>
              <w:ind w:right="136" w:rightChars="65" w:firstLine="4"/>
              <w:jc w:val="center"/>
              <w:textAlignment w:val="auto"/>
              <w:rPr>
                <w:rFonts w:ascii="宋体" w:hAnsi="宋体"/>
              </w:rPr>
            </w:pPr>
            <w:r>
              <w:rPr>
                <w:rFonts w:ascii="宋体" w:hAnsi="宋体"/>
              </w:rPr>
              <w:t>255～296</w:t>
            </w:r>
          </w:p>
        </w:tc>
        <w:tc>
          <w:tcPr>
            <w:tcW w:w="2230" w:type="dxa"/>
            <w:tcBorders>
              <w:top w:val="single" w:color="auto" w:sz="4" w:space="0"/>
              <w:left w:val="nil"/>
              <w:bottom w:val="single" w:color="auto" w:sz="4" w:space="0"/>
              <w:right w:val="single" w:color="auto" w:sz="4" w:space="0"/>
            </w:tcBorders>
            <w:noWrap w:val="0"/>
            <w:vAlign w:val="center"/>
          </w:tcPr>
          <w:p w14:paraId="6A703DF5">
            <w:pPr>
              <w:keepNext w:val="0"/>
              <w:keepLines w:val="0"/>
              <w:pageBreakBefore w:val="0"/>
              <w:kinsoku/>
              <w:wordWrap/>
              <w:overflowPunct/>
              <w:topLinePunct w:val="0"/>
              <w:bidi w:val="0"/>
              <w:snapToGrid w:val="0"/>
              <w:spacing w:line="560" w:lineRule="exact"/>
              <w:ind w:right="136" w:rightChars="65" w:firstLine="4"/>
              <w:jc w:val="center"/>
              <w:textAlignment w:val="auto"/>
              <w:rPr>
                <w:rFonts w:ascii="宋体" w:hAnsi="宋体"/>
              </w:rPr>
            </w:pPr>
            <w:r>
              <w:rPr>
                <w:rFonts w:ascii="宋体" w:hAnsi="宋体"/>
              </w:rPr>
              <w:t>20</w:t>
            </w:r>
          </w:p>
        </w:tc>
      </w:tr>
      <w:tr w14:paraId="0B524CCA">
        <w:tblPrEx>
          <w:tblCellMar>
            <w:top w:w="0" w:type="dxa"/>
            <w:left w:w="108" w:type="dxa"/>
            <w:bottom w:w="0" w:type="dxa"/>
            <w:right w:w="108" w:type="dxa"/>
          </w:tblCellMar>
        </w:tblPrEx>
        <w:trPr>
          <w:trHeight w:val="340" w:hRule="atLeast"/>
          <w:jc w:val="center"/>
        </w:trPr>
        <w:tc>
          <w:tcPr>
            <w:tcW w:w="2053" w:type="dxa"/>
            <w:tcBorders>
              <w:top w:val="single" w:color="auto" w:sz="4" w:space="0"/>
              <w:left w:val="single" w:color="auto" w:sz="4" w:space="0"/>
              <w:bottom w:val="single" w:color="auto" w:sz="4" w:space="0"/>
              <w:right w:val="single" w:color="auto" w:sz="4" w:space="0"/>
            </w:tcBorders>
            <w:noWrap w:val="0"/>
            <w:vAlign w:val="center"/>
          </w:tcPr>
          <w:p w14:paraId="1E3FBABC">
            <w:pPr>
              <w:keepNext w:val="0"/>
              <w:keepLines w:val="0"/>
              <w:pageBreakBefore w:val="0"/>
              <w:kinsoku/>
              <w:wordWrap/>
              <w:overflowPunct/>
              <w:topLinePunct w:val="0"/>
              <w:bidi w:val="0"/>
              <w:snapToGrid w:val="0"/>
              <w:spacing w:line="560" w:lineRule="exact"/>
              <w:ind w:right="136" w:rightChars="65" w:firstLine="67"/>
              <w:jc w:val="center"/>
              <w:textAlignment w:val="auto"/>
            </w:pPr>
            <w:r>
              <w:t>65</w:t>
            </w:r>
            <w:r>
              <w:rPr>
                <w:rFonts w:hAnsi="宋体"/>
              </w:rPr>
              <w:t>～</w:t>
            </w:r>
            <w:r>
              <w:t>81</w:t>
            </w:r>
          </w:p>
        </w:tc>
        <w:tc>
          <w:tcPr>
            <w:tcW w:w="2268" w:type="dxa"/>
            <w:tcBorders>
              <w:top w:val="single" w:color="auto" w:sz="4" w:space="0"/>
              <w:left w:val="nil"/>
              <w:bottom w:val="single" w:color="auto" w:sz="4" w:space="0"/>
              <w:right w:val="single" w:color="auto" w:sz="4" w:space="0"/>
            </w:tcBorders>
            <w:noWrap w:val="0"/>
            <w:vAlign w:val="center"/>
          </w:tcPr>
          <w:p w14:paraId="678BBDCE">
            <w:pPr>
              <w:keepNext w:val="0"/>
              <w:keepLines w:val="0"/>
              <w:pageBreakBefore w:val="0"/>
              <w:kinsoku/>
              <w:wordWrap/>
              <w:overflowPunct/>
              <w:topLinePunct w:val="0"/>
              <w:bidi w:val="0"/>
              <w:snapToGrid w:val="0"/>
              <w:spacing w:line="560" w:lineRule="exact"/>
              <w:ind w:right="136" w:rightChars="65" w:firstLine="4"/>
              <w:jc w:val="center"/>
              <w:textAlignment w:val="auto"/>
            </w:pPr>
            <w:r>
              <w:t>13</w:t>
            </w:r>
          </w:p>
        </w:tc>
        <w:tc>
          <w:tcPr>
            <w:tcW w:w="2126" w:type="dxa"/>
            <w:tcBorders>
              <w:top w:val="single" w:color="auto" w:sz="4" w:space="0"/>
              <w:left w:val="single" w:color="auto" w:sz="4" w:space="0"/>
              <w:bottom w:val="single" w:color="auto" w:sz="4" w:space="0"/>
              <w:right w:val="single" w:color="auto" w:sz="4" w:space="0"/>
            </w:tcBorders>
            <w:noWrap w:val="0"/>
            <w:vAlign w:val="center"/>
          </w:tcPr>
          <w:p w14:paraId="1F4C4CBF">
            <w:pPr>
              <w:keepNext w:val="0"/>
              <w:keepLines w:val="0"/>
              <w:pageBreakBefore w:val="0"/>
              <w:kinsoku/>
              <w:wordWrap/>
              <w:overflowPunct/>
              <w:topLinePunct w:val="0"/>
              <w:bidi w:val="0"/>
              <w:snapToGrid w:val="0"/>
              <w:spacing w:line="560" w:lineRule="exact"/>
              <w:ind w:right="136" w:rightChars="65" w:firstLine="4"/>
              <w:jc w:val="center"/>
              <w:textAlignment w:val="auto"/>
            </w:pPr>
            <w:r>
              <w:t>297</w:t>
            </w:r>
            <w:r>
              <w:rPr>
                <w:rFonts w:hAnsi="宋体"/>
              </w:rPr>
              <w:t>～</w:t>
            </w:r>
            <w:r>
              <w:t>343</w:t>
            </w:r>
          </w:p>
        </w:tc>
        <w:tc>
          <w:tcPr>
            <w:tcW w:w="2230" w:type="dxa"/>
            <w:tcBorders>
              <w:top w:val="single" w:color="auto" w:sz="4" w:space="0"/>
              <w:left w:val="nil"/>
              <w:bottom w:val="single" w:color="auto" w:sz="4" w:space="0"/>
              <w:right w:val="single" w:color="auto" w:sz="4" w:space="0"/>
            </w:tcBorders>
            <w:noWrap w:val="0"/>
            <w:vAlign w:val="center"/>
          </w:tcPr>
          <w:p w14:paraId="1BCFFCE4">
            <w:pPr>
              <w:keepNext w:val="0"/>
              <w:keepLines w:val="0"/>
              <w:pageBreakBefore w:val="0"/>
              <w:kinsoku/>
              <w:wordWrap/>
              <w:overflowPunct/>
              <w:topLinePunct w:val="0"/>
              <w:bidi w:val="0"/>
              <w:snapToGrid w:val="0"/>
              <w:spacing w:line="560" w:lineRule="exact"/>
              <w:ind w:right="136" w:rightChars="65" w:firstLine="4"/>
              <w:jc w:val="center"/>
              <w:textAlignment w:val="auto"/>
            </w:pPr>
            <w:r>
              <w:t>21</w:t>
            </w:r>
          </w:p>
        </w:tc>
      </w:tr>
      <w:tr w14:paraId="32F7DC35">
        <w:tblPrEx>
          <w:tblCellMar>
            <w:top w:w="0" w:type="dxa"/>
            <w:left w:w="108" w:type="dxa"/>
            <w:bottom w:w="0" w:type="dxa"/>
            <w:right w:w="108" w:type="dxa"/>
          </w:tblCellMar>
        </w:tblPrEx>
        <w:trPr>
          <w:trHeight w:val="340" w:hRule="atLeast"/>
          <w:jc w:val="center"/>
        </w:trPr>
        <w:tc>
          <w:tcPr>
            <w:tcW w:w="2053" w:type="dxa"/>
            <w:tcBorders>
              <w:top w:val="single" w:color="auto" w:sz="4" w:space="0"/>
              <w:left w:val="single" w:color="auto" w:sz="4" w:space="0"/>
              <w:bottom w:val="single" w:color="auto" w:sz="4" w:space="0"/>
              <w:right w:val="single" w:color="auto" w:sz="4" w:space="0"/>
            </w:tcBorders>
            <w:noWrap w:val="0"/>
            <w:vAlign w:val="center"/>
          </w:tcPr>
          <w:p w14:paraId="7E08CF9D">
            <w:pPr>
              <w:keepNext w:val="0"/>
              <w:keepLines w:val="0"/>
              <w:pageBreakBefore w:val="0"/>
              <w:kinsoku/>
              <w:wordWrap/>
              <w:overflowPunct/>
              <w:topLinePunct w:val="0"/>
              <w:bidi w:val="0"/>
              <w:snapToGrid w:val="0"/>
              <w:spacing w:line="560" w:lineRule="exact"/>
              <w:ind w:right="136" w:rightChars="65" w:firstLine="67"/>
              <w:jc w:val="center"/>
              <w:textAlignment w:val="auto"/>
            </w:pPr>
            <w:r>
              <w:t>82</w:t>
            </w:r>
            <w:r>
              <w:rPr>
                <w:rFonts w:hAnsi="宋体"/>
              </w:rPr>
              <w:t>～</w:t>
            </w:r>
            <w:r>
              <w:t>101</w:t>
            </w:r>
          </w:p>
        </w:tc>
        <w:tc>
          <w:tcPr>
            <w:tcW w:w="2268" w:type="dxa"/>
            <w:tcBorders>
              <w:top w:val="single" w:color="auto" w:sz="4" w:space="0"/>
              <w:left w:val="nil"/>
              <w:bottom w:val="single" w:color="auto" w:sz="4" w:space="0"/>
              <w:right w:val="single" w:color="auto" w:sz="4" w:space="0"/>
            </w:tcBorders>
            <w:noWrap w:val="0"/>
            <w:vAlign w:val="center"/>
          </w:tcPr>
          <w:p w14:paraId="082B4431">
            <w:pPr>
              <w:keepNext w:val="0"/>
              <w:keepLines w:val="0"/>
              <w:pageBreakBefore w:val="0"/>
              <w:kinsoku/>
              <w:wordWrap/>
              <w:overflowPunct/>
              <w:topLinePunct w:val="0"/>
              <w:bidi w:val="0"/>
              <w:snapToGrid w:val="0"/>
              <w:spacing w:line="560" w:lineRule="exact"/>
              <w:ind w:right="136" w:rightChars="65" w:firstLine="4"/>
              <w:jc w:val="center"/>
              <w:textAlignment w:val="auto"/>
            </w:pPr>
            <w:r>
              <w:t>14</w:t>
            </w:r>
          </w:p>
        </w:tc>
        <w:tc>
          <w:tcPr>
            <w:tcW w:w="2126" w:type="dxa"/>
            <w:tcBorders>
              <w:top w:val="single" w:color="auto" w:sz="4" w:space="0"/>
              <w:left w:val="single" w:color="auto" w:sz="4" w:space="0"/>
              <w:bottom w:val="single" w:color="auto" w:sz="4" w:space="0"/>
              <w:right w:val="single" w:color="auto" w:sz="4" w:space="0"/>
            </w:tcBorders>
            <w:noWrap w:val="0"/>
            <w:vAlign w:val="center"/>
          </w:tcPr>
          <w:p w14:paraId="3F76F4D0">
            <w:pPr>
              <w:keepNext w:val="0"/>
              <w:keepLines w:val="0"/>
              <w:pageBreakBefore w:val="0"/>
              <w:kinsoku/>
              <w:wordWrap/>
              <w:overflowPunct/>
              <w:topLinePunct w:val="0"/>
              <w:bidi w:val="0"/>
              <w:snapToGrid w:val="0"/>
              <w:spacing w:line="560" w:lineRule="exact"/>
              <w:ind w:right="136" w:rightChars="65" w:firstLine="4"/>
              <w:jc w:val="center"/>
              <w:textAlignment w:val="auto"/>
            </w:pPr>
            <w:r>
              <w:t>344</w:t>
            </w:r>
            <w:r>
              <w:rPr>
                <w:rFonts w:hAnsi="宋体"/>
              </w:rPr>
              <w:t>～</w:t>
            </w:r>
            <w:r>
              <w:t>394</w:t>
            </w:r>
          </w:p>
        </w:tc>
        <w:tc>
          <w:tcPr>
            <w:tcW w:w="2230" w:type="dxa"/>
            <w:tcBorders>
              <w:top w:val="single" w:color="auto" w:sz="4" w:space="0"/>
              <w:left w:val="nil"/>
              <w:bottom w:val="single" w:color="auto" w:sz="4" w:space="0"/>
              <w:right w:val="single" w:color="auto" w:sz="4" w:space="0"/>
            </w:tcBorders>
            <w:noWrap w:val="0"/>
            <w:vAlign w:val="center"/>
          </w:tcPr>
          <w:p w14:paraId="754668F2">
            <w:pPr>
              <w:keepNext w:val="0"/>
              <w:keepLines w:val="0"/>
              <w:pageBreakBefore w:val="0"/>
              <w:kinsoku/>
              <w:wordWrap/>
              <w:overflowPunct/>
              <w:topLinePunct w:val="0"/>
              <w:bidi w:val="0"/>
              <w:snapToGrid w:val="0"/>
              <w:spacing w:line="560" w:lineRule="exact"/>
              <w:ind w:right="136" w:rightChars="65" w:firstLine="4"/>
              <w:jc w:val="center"/>
              <w:textAlignment w:val="auto"/>
            </w:pPr>
            <w:r>
              <w:t>22</w:t>
            </w:r>
          </w:p>
        </w:tc>
      </w:tr>
      <w:tr w14:paraId="42996EC4">
        <w:tblPrEx>
          <w:tblCellMar>
            <w:top w:w="0" w:type="dxa"/>
            <w:left w:w="108" w:type="dxa"/>
            <w:bottom w:w="0" w:type="dxa"/>
            <w:right w:w="108" w:type="dxa"/>
          </w:tblCellMar>
        </w:tblPrEx>
        <w:trPr>
          <w:trHeight w:val="340" w:hRule="atLeast"/>
          <w:jc w:val="center"/>
        </w:trPr>
        <w:tc>
          <w:tcPr>
            <w:tcW w:w="2053" w:type="dxa"/>
            <w:tcBorders>
              <w:top w:val="single" w:color="auto" w:sz="4" w:space="0"/>
              <w:left w:val="single" w:color="auto" w:sz="4" w:space="0"/>
              <w:bottom w:val="single" w:color="auto" w:sz="4" w:space="0"/>
              <w:right w:val="single" w:color="auto" w:sz="4" w:space="0"/>
            </w:tcBorders>
            <w:noWrap w:val="0"/>
            <w:vAlign w:val="center"/>
          </w:tcPr>
          <w:p w14:paraId="5FD9767A">
            <w:pPr>
              <w:keepNext w:val="0"/>
              <w:keepLines w:val="0"/>
              <w:pageBreakBefore w:val="0"/>
              <w:kinsoku/>
              <w:wordWrap/>
              <w:overflowPunct/>
              <w:topLinePunct w:val="0"/>
              <w:bidi w:val="0"/>
              <w:snapToGrid w:val="0"/>
              <w:spacing w:line="560" w:lineRule="exact"/>
              <w:ind w:right="136" w:rightChars="65" w:firstLine="67"/>
              <w:jc w:val="center"/>
              <w:textAlignment w:val="auto"/>
            </w:pPr>
            <w:r>
              <w:t>102</w:t>
            </w:r>
            <w:r>
              <w:rPr>
                <w:rFonts w:hAnsi="宋体"/>
              </w:rPr>
              <w:t>～</w:t>
            </w:r>
            <w:r>
              <w:t>125</w:t>
            </w:r>
          </w:p>
        </w:tc>
        <w:tc>
          <w:tcPr>
            <w:tcW w:w="2268" w:type="dxa"/>
            <w:tcBorders>
              <w:top w:val="single" w:color="auto" w:sz="4" w:space="0"/>
              <w:left w:val="nil"/>
              <w:bottom w:val="single" w:color="auto" w:sz="4" w:space="0"/>
              <w:right w:val="single" w:color="auto" w:sz="4" w:space="0"/>
            </w:tcBorders>
            <w:noWrap w:val="0"/>
            <w:vAlign w:val="center"/>
          </w:tcPr>
          <w:p w14:paraId="2841C598">
            <w:pPr>
              <w:keepNext w:val="0"/>
              <w:keepLines w:val="0"/>
              <w:pageBreakBefore w:val="0"/>
              <w:kinsoku/>
              <w:wordWrap/>
              <w:overflowPunct/>
              <w:topLinePunct w:val="0"/>
              <w:bidi w:val="0"/>
              <w:snapToGrid w:val="0"/>
              <w:spacing w:line="560" w:lineRule="exact"/>
              <w:ind w:right="136" w:rightChars="65" w:firstLine="4"/>
              <w:jc w:val="center"/>
              <w:textAlignment w:val="auto"/>
            </w:pPr>
            <w:r>
              <w:t>15</w:t>
            </w:r>
          </w:p>
        </w:tc>
        <w:tc>
          <w:tcPr>
            <w:tcW w:w="2126" w:type="dxa"/>
            <w:tcBorders>
              <w:top w:val="single" w:color="auto" w:sz="4" w:space="0"/>
              <w:left w:val="single" w:color="auto" w:sz="4" w:space="0"/>
              <w:bottom w:val="single" w:color="auto" w:sz="4" w:space="0"/>
              <w:right w:val="single" w:color="auto" w:sz="4" w:space="0"/>
            </w:tcBorders>
            <w:noWrap w:val="0"/>
            <w:vAlign w:val="center"/>
          </w:tcPr>
          <w:p w14:paraId="515FD2FE">
            <w:pPr>
              <w:keepNext w:val="0"/>
              <w:keepLines w:val="0"/>
              <w:pageBreakBefore w:val="0"/>
              <w:kinsoku/>
              <w:wordWrap/>
              <w:overflowPunct/>
              <w:topLinePunct w:val="0"/>
              <w:bidi w:val="0"/>
              <w:snapToGrid w:val="0"/>
              <w:spacing w:line="560" w:lineRule="exact"/>
              <w:ind w:right="136" w:rightChars="65" w:firstLine="4"/>
              <w:jc w:val="center"/>
              <w:textAlignment w:val="auto"/>
            </w:pPr>
            <w:r>
              <w:t>395</w:t>
            </w:r>
            <w:r>
              <w:rPr>
                <w:rFonts w:hAnsi="宋体"/>
              </w:rPr>
              <w:t>～</w:t>
            </w:r>
            <w:r>
              <w:t>450</w:t>
            </w:r>
          </w:p>
        </w:tc>
        <w:tc>
          <w:tcPr>
            <w:tcW w:w="2230" w:type="dxa"/>
            <w:tcBorders>
              <w:top w:val="single" w:color="auto" w:sz="4" w:space="0"/>
              <w:left w:val="nil"/>
              <w:bottom w:val="single" w:color="auto" w:sz="4" w:space="0"/>
              <w:right w:val="single" w:color="auto" w:sz="4" w:space="0"/>
            </w:tcBorders>
            <w:noWrap w:val="0"/>
            <w:vAlign w:val="center"/>
          </w:tcPr>
          <w:p w14:paraId="0BBD0427">
            <w:pPr>
              <w:keepNext w:val="0"/>
              <w:keepLines w:val="0"/>
              <w:pageBreakBefore w:val="0"/>
              <w:kinsoku/>
              <w:wordWrap/>
              <w:overflowPunct/>
              <w:topLinePunct w:val="0"/>
              <w:bidi w:val="0"/>
              <w:snapToGrid w:val="0"/>
              <w:spacing w:line="560" w:lineRule="exact"/>
              <w:ind w:right="136" w:rightChars="65" w:firstLine="4"/>
              <w:jc w:val="center"/>
              <w:textAlignment w:val="auto"/>
            </w:pPr>
            <w:r>
              <w:t>23</w:t>
            </w:r>
          </w:p>
        </w:tc>
      </w:tr>
      <w:tr w14:paraId="30CC17FC">
        <w:tblPrEx>
          <w:tblCellMar>
            <w:top w:w="0" w:type="dxa"/>
            <w:left w:w="108" w:type="dxa"/>
            <w:bottom w:w="0" w:type="dxa"/>
            <w:right w:w="108" w:type="dxa"/>
          </w:tblCellMar>
        </w:tblPrEx>
        <w:trPr>
          <w:trHeight w:val="340" w:hRule="atLeast"/>
          <w:jc w:val="center"/>
        </w:trPr>
        <w:tc>
          <w:tcPr>
            <w:tcW w:w="2053" w:type="dxa"/>
            <w:tcBorders>
              <w:top w:val="single" w:color="auto" w:sz="4" w:space="0"/>
              <w:left w:val="single" w:color="auto" w:sz="4" w:space="0"/>
              <w:bottom w:val="single" w:color="auto" w:sz="4" w:space="0"/>
              <w:right w:val="single" w:color="auto" w:sz="4" w:space="0"/>
            </w:tcBorders>
            <w:noWrap w:val="0"/>
            <w:vAlign w:val="center"/>
          </w:tcPr>
          <w:p w14:paraId="0F9A6839">
            <w:pPr>
              <w:keepNext w:val="0"/>
              <w:keepLines w:val="0"/>
              <w:pageBreakBefore w:val="0"/>
              <w:kinsoku/>
              <w:wordWrap/>
              <w:overflowPunct/>
              <w:topLinePunct w:val="0"/>
              <w:bidi w:val="0"/>
              <w:snapToGrid w:val="0"/>
              <w:spacing w:line="560" w:lineRule="exact"/>
              <w:ind w:right="136" w:rightChars="65" w:firstLine="67"/>
              <w:jc w:val="center"/>
              <w:textAlignment w:val="auto"/>
            </w:pPr>
            <w:r>
              <w:t>126</w:t>
            </w:r>
            <w:r>
              <w:rPr>
                <w:rFonts w:hAnsi="宋体"/>
              </w:rPr>
              <w:t>～</w:t>
            </w:r>
            <w:r>
              <w:t>151</w:t>
            </w:r>
          </w:p>
        </w:tc>
        <w:tc>
          <w:tcPr>
            <w:tcW w:w="2268" w:type="dxa"/>
            <w:tcBorders>
              <w:top w:val="single" w:color="auto" w:sz="4" w:space="0"/>
              <w:left w:val="nil"/>
              <w:bottom w:val="single" w:color="auto" w:sz="4" w:space="0"/>
              <w:right w:val="single" w:color="auto" w:sz="4" w:space="0"/>
            </w:tcBorders>
            <w:noWrap w:val="0"/>
            <w:vAlign w:val="center"/>
          </w:tcPr>
          <w:p w14:paraId="5E142F48">
            <w:pPr>
              <w:keepNext w:val="0"/>
              <w:keepLines w:val="0"/>
              <w:pageBreakBefore w:val="0"/>
              <w:kinsoku/>
              <w:wordWrap/>
              <w:overflowPunct/>
              <w:topLinePunct w:val="0"/>
              <w:bidi w:val="0"/>
              <w:snapToGrid w:val="0"/>
              <w:spacing w:line="560" w:lineRule="exact"/>
              <w:ind w:right="136" w:rightChars="65" w:firstLine="4"/>
              <w:jc w:val="center"/>
              <w:textAlignment w:val="auto"/>
            </w:pPr>
            <w:r>
              <w:t>16</w:t>
            </w:r>
          </w:p>
        </w:tc>
        <w:tc>
          <w:tcPr>
            <w:tcW w:w="2126" w:type="dxa"/>
            <w:tcBorders>
              <w:top w:val="single" w:color="auto" w:sz="4" w:space="0"/>
              <w:left w:val="single" w:color="auto" w:sz="4" w:space="0"/>
              <w:bottom w:val="single" w:color="auto" w:sz="4" w:space="0"/>
              <w:right w:val="single" w:color="auto" w:sz="4" w:space="0"/>
            </w:tcBorders>
            <w:noWrap w:val="0"/>
            <w:vAlign w:val="center"/>
          </w:tcPr>
          <w:p w14:paraId="0B2AC826">
            <w:pPr>
              <w:keepNext w:val="0"/>
              <w:keepLines w:val="0"/>
              <w:pageBreakBefore w:val="0"/>
              <w:kinsoku/>
              <w:wordWrap/>
              <w:overflowPunct/>
              <w:topLinePunct w:val="0"/>
              <w:bidi w:val="0"/>
              <w:snapToGrid w:val="0"/>
              <w:spacing w:line="560" w:lineRule="exact"/>
              <w:ind w:right="136" w:rightChars="65" w:firstLine="4"/>
              <w:jc w:val="center"/>
              <w:textAlignment w:val="auto"/>
            </w:pPr>
            <w:r>
              <w:t>451</w:t>
            </w:r>
            <w:r>
              <w:rPr>
                <w:rFonts w:hAnsi="宋体"/>
              </w:rPr>
              <w:t>～</w:t>
            </w:r>
            <w:r>
              <w:t>512</w:t>
            </w:r>
          </w:p>
        </w:tc>
        <w:tc>
          <w:tcPr>
            <w:tcW w:w="2230" w:type="dxa"/>
            <w:tcBorders>
              <w:top w:val="single" w:color="auto" w:sz="4" w:space="0"/>
              <w:left w:val="nil"/>
              <w:bottom w:val="single" w:color="auto" w:sz="4" w:space="0"/>
              <w:right w:val="single" w:color="auto" w:sz="4" w:space="0"/>
            </w:tcBorders>
            <w:noWrap w:val="0"/>
            <w:vAlign w:val="center"/>
          </w:tcPr>
          <w:p w14:paraId="66C91691">
            <w:pPr>
              <w:keepNext w:val="0"/>
              <w:keepLines w:val="0"/>
              <w:pageBreakBefore w:val="0"/>
              <w:kinsoku/>
              <w:wordWrap/>
              <w:overflowPunct/>
              <w:topLinePunct w:val="0"/>
              <w:bidi w:val="0"/>
              <w:snapToGrid w:val="0"/>
              <w:spacing w:line="560" w:lineRule="exact"/>
              <w:ind w:right="136" w:rightChars="65" w:firstLine="4"/>
              <w:jc w:val="center"/>
              <w:textAlignment w:val="auto"/>
            </w:pPr>
            <w:r>
              <w:t>24</w:t>
            </w:r>
          </w:p>
        </w:tc>
      </w:tr>
      <w:tr w14:paraId="5A2EB6D8">
        <w:tblPrEx>
          <w:tblCellMar>
            <w:top w:w="0" w:type="dxa"/>
            <w:left w:w="108" w:type="dxa"/>
            <w:bottom w:w="0" w:type="dxa"/>
            <w:right w:w="108" w:type="dxa"/>
          </w:tblCellMar>
        </w:tblPrEx>
        <w:trPr>
          <w:trHeight w:val="340" w:hRule="atLeast"/>
          <w:jc w:val="center"/>
        </w:trPr>
        <w:tc>
          <w:tcPr>
            <w:tcW w:w="2053" w:type="dxa"/>
            <w:tcBorders>
              <w:top w:val="single" w:color="auto" w:sz="4" w:space="0"/>
              <w:left w:val="single" w:color="auto" w:sz="4" w:space="0"/>
              <w:bottom w:val="single" w:color="auto" w:sz="4" w:space="0"/>
              <w:right w:val="single" w:color="auto" w:sz="4" w:space="0"/>
            </w:tcBorders>
            <w:noWrap w:val="0"/>
            <w:vAlign w:val="center"/>
          </w:tcPr>
          <w:p w14:paraId="079EDA7C">
            <w:pPr>
              <w:keepNext w:val="0"/>
              <w:keepLines w:val="0"/>
              <w:pageBreakBefore w:val="0"/>
              <w:kinsoku/>
              <w:wordWrap/>
              <w:overflowPunct/>
              <w:topLinePunct w:val="0"/>
              <w:bidi w:val="0"/>
              <w:snapToGrid w:val="0"/>
              <w:spacing w:line="560" w:lineRule="exact"/>
              <w:ind w:right="136" w:rightChars="65" w:firstLine="67"/>
              <w:jc w:val="center"/>
              <w:textAlignment w:val="auto"/>
            </w:pPr>
            <w:r>
              <w:t>152</w:t>
            </w:r>
            <w:r>
              <w:rPr>
                <w:rFonts w:hAnsi="宋体"/>
              </w:rPr>
              <w:t>～</w:t>
            </w:r>
            <w:r>
              <w:t>181</w:t>
            </w:r>
          </w:p>
        </w:tc>
        <w:tc>
          <w:tcPr>
            <w:tcW w:w="2268" w:type="dxa"/>
            <w:tcBorders>
              <w:top w:val="single" w:color="auto" w:sz="4" w:space="0"/>
              <w:left w:val="nil"/>
              <w:bottom w:val="single" w:color="auto" w:sz="4" w:space="0"/>
              <w:right w:val="single" w:color="auto" w:sz="4" w:space="0"/>
            </w:tcBorders>
            <w:noWrap w:val="0"/>
            <w:vAlign w:val="center"/>
          </w:tcPr>
          <w:p w14:paraId="1E5E2A8C">
            <w:pPr>
              <w:keepNext w:val="0"/>
              <w:keepLines w:val="0"/>
              <w:pageBreakBefore w:val="0"/>
              <w:kinsoku/>
              <w:wordWrap/>
              <w:overflowPunct/>
              <w:topLinePunct w:val="0"/>
              <w:bidi w:val="0"/>
              <w:snapToGrid w:val="0"/>
              <w:spacing w:line="560" w:lineRule="exact"/>
              <w:ind w:right="136" w:rightChars="65" w:firstLine="4"/>
              <w:jc w:val="center"/>
              <w:textAlignment w:val="auto"/>
            </w:pPr>
            <w:r>
              <w:t>17</w:t>
            </w:r>
          </w:p>
        </w:tc>
        <w:tc>
          <w:tcPr>
            <w:tcW w:w="2126" w:type="dxa"/>
            <w:tcBorders>
              <w:top w:val="single" w:color="auto" w:sz="4" w:space="0"/>
              <w:left w:val="single" w:color="auto" w:sz="4" w:space="0"/>
              <w:bottom w:val="single" w:color="auto" w:sz="4" w:space="0"/>
              <w:right w:val="single" w:color="auto" w:sz="4" w:space="0"/>
            </w:tcBorders>
            <w:noWrap w:val="0"/>
            <w:vAlign w:val="center"/>
          </w:tcPr>
          <w:p w14:paraId="1175C8C5">
            <w:pPr>
              <w:keepNext w:val="0"/>
              <w:keepLines w:val="0"/>
              <w:pageBreakBefore w:val="0"/>
              <w:kinsoku/>
              <w:wordWrap/>
              <w:overflowPunct/>
              <w:topLinePunct w:val="0"/>
              <w:bidi w:val="0"/>
              <w:snapToGrid w:val="0"/>
              <w:spacing w:line="560" w:lineRule="exact"/>
              <w:ind w:right="136" w:rightChars="65" w:firstLine="4"/>
              <w:jc w:val="center"/>
              <w:textAlignment w:val="auto"/>
            </w:pPr>
            <w:r>
              <w:t>-----</w:t>
            </w:r>
          </w:p>
        </w:tc>
        <w:tc>
          <w:tcPr>
            <w:tcW w:w="2230" w:type="dxa"/>
            <w:tcBorders>
              <w:top w:val="single" w:color="auto" w:sz="4" w:space="0"/>
              <w:left w:val="nil"/>
              <w:bottom w:val="single" w:color="auto" w:sz="4" w:space="0"/>
              <w:right w:val="single" w:color="auto" w:sz="4" w:space="0"/>
            </w:tcBorders>
            <w:noWrap w:val="0"/>
            <w:vAlign w:val="center"/>
          </w:tcPr>
          <w:p w14:paraId="23FF9853">
            <w:pPr>
              <w:keepNext w:val="0"/>
              <w:keepLines w:val="0"/>
              <w:pageBreakBefore w:val="0"/>
              <w:kinsoku/>
              <w:wordWrap/>
              <w:overflowPunct/>
              <w:topLinePunct w:val="0"/>
              <w:bidi w:val="0"/>
              <w:snapToGrid w:val="0"/>
              <w:spacing w:line="560" w:lineRule="exact"/>
              <w:ind w:right="136" w:rightChars="65" w:firstLine="4"/>
              <w:jc w:val="center"/>
              <w:textAlignment w:val="auto"/>
            </w:pPr>
            <w:r>
              <w:t>-----</w:t>
            </w:r>
          </w:p>
        </w:tc>
      </w:tr>
      <w:tr w14:paraId="7582617D">
        <w:tblPrEx>
          <w:tblCellMar>
            <w:top w:w="0" w:type="dxa"/>
            <w:left w:w="108" w:type="dxa"/>
            <w:bottom w:w="0" w:type="dxa"/>
            <w:right w:w="108" w:type="dxa"/>
          </w:tblCellMar>
        </w:tblPrEx>
        <w:trPr>
          <w:trHeight w:val="1323" w:hRule="atLeast"/>
          <w:jc w:val="center"/>
        </w:trPr>
        <w:tc>
          <w:tcPr>
            <w:tcW w:w="8677" w:type="dxa"/>
            <w:gridSpan w:val="4"/>
            <w:tcBorders>
              <w:top w:val="single" w:color="auto" w:sz="4" w:space="0"/>
              <w:left w:val="single" w:color="auto" w:sz="4" w:space="0"/>
              <w:bottom w:val="single" w:color="auto" w:sz="4" w:space="0"/>
              <w:right w:val="single" w:color="auto" w:sz="4" w:space="0"/>
            </w:tcBorders>
            <w:noWrap w:val="0"/>
            <w:vAlign w:val="center"/>
          </w:tcPr>
          <w:p w14:paraId="14944D1A">
            <w:pPr>
              <w:keepNext w:val="0"/>
              <w:keepLines w:val="0"/>
              <w:pageBreakBefore w:val="0"/>
              <w:kinsoku/>
              <w:wordWrap/>
              <w:overflowPunct/>
              <w:topLinePunct w:val="0"/>
              <w:bidi w:val="0"/>
              <w:snapToGrid w:val="0"/>
              <w:spacing w:line="560" w:lineRule="exact"/>
              <w:ind w:right="136" w:rightChars="65" w:firstLine="4"/>
              <w:jc w:val="left"/>
              <w:textAlignment w:val="auto"/>
            </w:pPr>
            <w:r>
              <w:t>备注：</w:t>
            </w:r>
          </w:p>
          <w:p w14:paraId="50AEF9D3">
            <w:pPr>
              <w:keepNext w:val="0"/>
              <w:keepLines w:val="0"/>
              <w:pageBreakBefore w:val="0"/>
              <w:kinsoku/>
              <w:wordWrap/>
              <w:overflowPunct/>
              <w:topLinePunct w:val="0"/>
              <w:bidi w:val="0"/>
              <w:adjustRightInd w:val="0"/>
              <w:snapToGrid w:val="0"/>
              <w:spacing w:line="560" w:lineRule="exact"/>
              <w:ind w:right="136" w:rightChars="65"/>
              <w:textAlignment w:val="auto"/>
              <w:rPr>
                <w:kern w:val="0"/>
              </w:rPr>
            </w:pPr>
            <w:r>
              <w:rPr>
                <w:b/>
                <w:spacing w:val="2"/>
                <w:kern w:val="0"/>
              </w:rPr>
              <w:t xml:space="preserve">1. </w:t>
            </w:r>
            <w:r>
              <w:rPr>
                <w:spacing w:val="2"/>
                <w:kern w:val="0"/>
              </w:rPr>
              <w:t>每</w:t>
            </w:r>
            <w:r>
              <w:rPr>
                <w:kern w:val="0"/>
              </w:rPr>
              <w:t>袋取出四管（不少于200g样品），每批产品采取的总样品量不得少于4kg。</w:t>
            </w:r>
          </w:p>
          <w:p w14:paraId="5D6B1279">
            <w:pPr>
              <w:keepNext w:val="0"/>
              <w:keepLines w:val="0"/>
              <w:pageBreakBefore w:val="0"/>
              <w:kinsoku/>
              <w:wordWrap/>
              <w:overflowPunct/>
              <w:topLinePunct w:val="0"/>
              <w:bidi w:val="0"/>
              <w:adjustRightInd w:val="0"/>
              <w:snapToGrid w:val="0"/>
              <w:spacing w:line="560" w:lineRule="exact"/>
              <w:ind w:right="136" w:rightChars="65"/>
              <w:textAlignment w:val="auto"/>
              <w:rPr>
                <w:sz w:val="18"/>
                <w:szCs w:val="18"/>
              </w:rPr>
            </w:pPr>
            <w:r>
              <w:rPr>
                <w:b/>
                <w:spacing w:val="2"/>
                <w:kern w:val="0"/>
              </w:rPr>
              <w:t xml:space="preserve">2. </w:t>
            </w:r>
            <w:r>
              <w:rPr>
                <w:kern w:val="0"/>
              </w:rPr>
              <w:t>样品迅速充分混匀，用分样器缩分至不少于1.5kg，分装在3个清洁干燥的500mL塑料瓶中，分别密封并加贴标识。一瓶作为检验样品，两瓶作为备用样品，备用样品存放在检验机构。</w:t>
            </w:r>
          </w:p>
        </w:tc>
      </w:tr>
    </w:tbl>
    <w:p w14:paraId="1DE6004D">
      <w:pPr>
        <w:pStyle w:val="12"/>
        <w:keepNext w:val="0"/>
        <w:keepLines w:val="0"/>
        <w:pageBreakBefore w:val="0"/>
        <w:tabs>
          <w:tab w:val="clear" w:pos="4201"/>
          <w:tab w:val="clear" w:pos="9298"/>
        </w:tabs>
        <w:kinsoku/>
        <w:wordWrap/>
        <w:overflowPunct/>
        <w:topLinePunct w:val="0"/>
        <w:bidi w:val="0"/>
        <w:spacing w:line="560" w:lineRule="exact"/>
        <w:ind w:right="136" w:rightChars="65" w:firstLine="600" w:firstLineChars="200"/>
        <w:textAlignment w:val="auto"/>
        <w:rPr>
          <w:rFonts w:hAnsi="宋体" w:cs="仿宋_GB2312"/>
          <w:sz w:val="24"/>
          <w:szCs w:val="24"/>
        </w:rPr>
      </w:pPr>
      <w:r>
        <w:rPr>
          <w:rFonts w:hint="eastAsia" w:ascii="方正黑体_GBK" w:hAnsi="方正黑体_GBK" w:eastAsia="方正黑体_GBK" w:cs="方正黑体_GBK"/>
          <w:sz w:val="30"/>
          <w:szCs w:val="30"/>
        </w:rPr>
        <w:t>二、主要检验项目及检验项目属性划分</w:t>
      </w:r>
    </w:p>
    <w:tbl>
      <w:tblPr>
        <w:tblStyle w:val="5"/>
        <w:tblW w:w="86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0"/>
        <w:gridCol w:w="1701"/>
        <w:gridCol w:w="1984"/>
        <w:gridCol w:w="985"/>
        <w:gridCol w:w="1946"/>
        <w:gridCol w:w="513"/>
        <w:gridCol w:w="513"/>
        <w:gridCol w:w="513"/>
      </w:tblGrid>
      <w:tr w14:paraId="7F479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10" w:type="dxa"/>
            <w:vMerge w:val="restart"/>
            <w:noWrap w:val="0"/>
            <w:vAlign w:val="center"/>
          </w:tcPr>
          <w:p w14:paraId="70AFB5BB">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序号</w:t>
            </w:r>
          </w:p>
        </w:tc>
        <w:tc>
          <w:tcPr>
            <w:tcW w:w="1701" w:type="dxa"/>
            <w:vMerge w:val="restart"/>
            <w:noWrap w:val="0"/>
            <w:vAlign w:val="center"/>
          </w:tcPr>
          <w:p w14:paraId="69F895C7">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检验项目</w:t>
            </w:r>
          </w:p>
        </w:tc>
        <w:tc>
          <w:tcPr>
            <w:tcW w:w="1984" w:type="dxa"/>
            <w:vMerge w:val="restart"/>
            <w:noWrap w:val="0"/>
            <w:vAlign w:val="center"/>
          </w:tcPr>
          <w:p w14:paraId="58DB17B0">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依据法律法规或标准</w:t>
            </w:r>
          </w:p>
        </w:tc>
        <w:tc>
          <w:tcPr>
            <w:tcW w:w="985" w:type="dxa"/>
            <w:vMerge w:val="restart"/>
            <w:noWrap w:val="0"/>
            <w:vAlign w:val="center"/>
          </w:tcPr>
          <w:p w14:paraId="6E4A7B1B">
            <w:pPr>
              <w:keepNext w:val="0"/>
              <w:keepLines w:val="0"/>
              <w:pageBreakBefore w:val="0"/>
              <w:kinsoku/>
              <w:wordWrap/>
              <w:overflowPunct/>
              <w:topLinePunct w:val="0"/>
              <w:bidi w:val="0"/>
              <w:spacing w:line="560" w:lineRule="exact"/>
              <w:ind w:left="-109" w:leftChars="-52" w:right="136" w:rightChars="65"/>
              <w:jc w:val="center"/>
              <w:textAlignment w:val="auto"/>
              <w:rPr>
                <w:rFonts w:hint="eastAsia" w:ascii="宋体" w:hAnsi="宋体" w:cs="宋体"/>
              </w:rPr>
            </w:pPr>
            <w:r>
              <w:rPr>
                <w:rFonts w:hint="eastAsia" w:ascii="宋体" w:hAnsi="宋体" w:cs="宋体"/>
              </w:rPr>
              <w:t>强制性/推荐性</w:t>
            </w:r>
          </w:p>
        </w:tc>
        <w:tc>
          <w:tcPr>
            <w:tcW w:w="1946" w:type="dxa"/>
            <w:vMerge w:val="restart"/>
            <w:noWrap w:val="0"/>
            <w:vAlign w:val="center"/>
          </w:tcPr>
          <w:p w14:paraId="4055C9FF">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检验方法标准</w:t>
            </w:r>
          </w:p>
        </w:tc>
        <w:tc>
          <w:tcPr>
            <w:tcW w:w="1539" w:type="dxa"/>
            <w:gridSpan w:val="3"/>
            <w:noWrap w:val="0"/>
            <w:vAlign w:val="center"/>
          </w:tcPr>
          <w:p w14:paraId="1CF9CE13">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重要程度分类</w:t>
            </w:r>
          </w:p>
        </w:tc>
      </w:tr>
      <w:tr w14:paraId="1CFD8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7" w:hRule="atLeast"/>
          <w:jc w:val="center"/>
        </w:trPr>
        <w:tc>
          <w:tcPr>
            <w:tcW w:w="510" w:type="dxa"/>
            <w:vMerge w:val="continue"/>
            <w:noWrap w:val="0"/>
            <w:vAlign w:val="center"/>
          </w:tcPr>
          <w:p w14:paraId="6EB70478">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p>
        </w:tc>
        <w:tc>
          <w:tcPr>
            <w:tcW w:w="1701" w:type="dxa"/>
            <w:vMerge w:val="continue"/>
            <w:noWrap w:val="0"/>
            <w:vAlign w:val="center"/>
          </w:tcPr>
          <w:p w14:paraId="4960D7C6">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p>
        </w:tc>
        <w:tc>
          <w:tcPr>
            <w:tcW w:w="1984" w:type="dxa"/>
            <w:vMerge w:val="continue"/>
            <w:noWrap w:val="0"/>
            <w:vAlign w:val="center"/>
          </w:tcPr>
          <w:p w14:paraId="6B2441B9">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p>
        </w:tc>
        <w:tc>
          <w:tcPr>
            <w:tcW w:w="985" w:type="dxa"/>
            <w:vMerge w:val="continue"/>
            <w:noWrap w:val="0"/>
            <w:vAlign w:val="center"/>
          </w:tcPr>
          <w:p w14:paraId="7DB7AFB0">
            <w:pPr>
              <w:keepNext w:val="0"/>
              <w:keepLines w:val="0"/>
              <w:pageBreakBefore w:val="0"/>
              <w:kinsoku/>
              <w:wordWrap/>
              <w:overflowPunct/>
              <w:topLinePunct w:val="0"/>
              <w:bidi w:val="0"/>
              <w:spacing w:line="560" w:lineRule="exact"/>
              <w:ind w:left="-109" w:leftChars="-52" w:right="136" w:rightChars="65"/>
              <w:jc w:val="center"/>
              <w:textAlignment w:val="auto"/>
              <w:rPr>
                <w:rFonts w:hint="eastAsia" w:ascii="宋体" w:hAnsi="宋体" w:cs="宋体"/>
              </w:rPr>
            </w:pPr>
          </w:p>
        </w:tc>
        <w:tc>
          <w:tcPr>
            <w:tcW w:w="1946" w:type="dxa"/>
            <w:vMerge w:val="continue"/>
            <w:noWrap w:val="0"/>
            <w:vAlign w:val="center"/>
          </w:tcPr>
          <w:p w14:paraId="21823139">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p>
        </w:tc>
        <w:tc>
          <w:tcPr>
            <w:tcW w:w="513" w:type="dxa"/>
            <w:noWrap w:val="0"/>
            <w:vAlign w:val="center"/>
          </w:tcPr>
          <w:p w14:paraId="3A508CD0">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A类</w:t>
            </w:r>
          </w:p>
        </w:tc>
        <w:tc>
          <w:tcPr>
            <w:tcW w:w="513" w:type="dxa"/>
            <w:noWrap w:val="0"/>
            <w:vAlign w:val="center"/>
          </w:tcPr>
          <w:p w14:paraId="5DF38575">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B类</w:t>
            </w:r>
          </w:p>
        </w:tc>
        <w:tc>
          <w:tcPr>
            <w:tcW w:w="513" w:type="dxa"/>
            <w:noWrap w:val="0"/>
            <w:vAlign w:val="center"/>
          </w:tcPr>
          <w:p w14:paraId="7109E74B">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C类</w:t>
            </w:r>
          </w:p>
        </w:tc>
      </w:tr>
      <w:tr w14:paraId="76F84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atLeast"/>
          <w:jc w:val="center"/>
        </w:trPr>
        <w:tc>
          <w:tcPr>
            <w:tcW w:w="510" w:type="dxa"/>
            <w:noWrap w:val="0"/>
            <w:vAlign w:val="center"/>
          </w:tcPr>
          <w:p w14:paraId="6B6A0006">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1</w:t>
            </w:r>
          </w:p>
        </w:tc>
        <w:tc>
          <w:tcPr>
            <w:tcW w:w="1701" w:type="dxa"/>
            <w:noWrap w:val="0"/>
            <w:vAlign w:val="center"/>
          </w:tcPr>
          <w:p w14:paraId="10394718">
            <w:pPr>
              <w:keepNext w:val="0"/>
              <w:keepLines w:val="0"/>
              <w:pageBreakBefore w:val="0"/>
              <w:kinsoku/>
              <w:wordWrap/>
              <w:overflowPunct/>
              <w:topLinePunct w:val="0"/>
              <w:bidi w:val="0"/>
              <w:spacing w:line="560" w:lineRule="exact"/>
              <w:ind w:left="-107" w:leftChars="-51" w:right="136" w:rightChars="65"/>
              <w:jc w:val="center"/>
              <w:textAlignment w:val="auto"/>
              <w:rPr>
                <w:rFonts w:hint="eastAsia" w:ascii="宋体" w:hAnsi="宋体" w:cs="宋体"/>
              </w:rPr>
            </w:pPr>
            <w:r>
              <w:rPr>
                <w:rFonts w:hint="eastAsia" w:ascii="宋体" w:hAnsi="宋体" w:cs="宋体"/>
              </w:rPr>
              <w:t>外观</w:t>
            </w:r>
          </w:p>
        </w:tc>
        <w:tc>
          <w:tcPr>
            <w:tcW w:w="1984" w:type="dxa"/>
            <w:noWrap w:val="0"/>
            <w:vAlign w:val="center"/>
          </w:tcPr>
          <w:p w14:paraId="75448DD6">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GB/T 15063－2020</w:t>
            </w:r>
          </w:p>
        </w:tc>
        <w:tc>
          <w:tcPr>
            <w:tcW w:w="985" w:type="dxa"/>
            <w:noWrap w:val="0"/>
            <w:vAlign w:val="center"/>
          </w:tcPr>
          <w:p w14:paraId="3BB1911D">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推荐性</w:t>
            </w:r>
          </w:p>
        </w:tc>
        <w:tc>
          <w:tcPr>
            <w:tcW w:w="1946" w:type="dxa"/>
            <w:noWrap w:val="0"/>
            <w:vAlign w:val="center"/>
          </w:tcPr>
          <w:p w14:paraId="6E769586">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GB/T 15063－2020</w:t>
            </w:r>
          </w:p>
        </w:tc>
        <w:tc>
          <w:tcPr>
            <w:tcW w:w="513" w:type="dxa"/>
            <w:noWrap w:val="0"/>
            <w:vAlign w:val="center"/>
          </w:tcPr>
          <w:p w14:paraId="79A2FE1A">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p>
        </w:tc>
        <w:tc>
          <w:tcPr>
            <w:tcW w:w="513" w:type="dxa"/>
            <w:noWrap w:val="0"/>
            <w:vAlign w:val="center"/>
          </w:tcPr>
          <w:p w14:paraId="76FF3693">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p>
        </w:tc>
        <w:tc>
          <w:tcPr>
            <w:tcW w:w="513" w:type="dxa"/>
            <w:noWrap w:val="0"/>
            <w:vAlign w:val="center"/>
          </w:tcPr>
          <w:p w14:paraId="2ADBD663">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w:t>
            </w:r>
          </w:p>
        </w:tc>
      </w:tr>
      <w:tr w14:paraId="37F2C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jc w:val="center"/>
        </w:trPr>
        <w:tc>
          <w:tcPr>
            <w:tcW w:w="510" w:type="dxa"/>
            <w:noWrap w:val="0"/>
            <w:vAlign w:val="center"/>
          </w:tcPr>
          <w:p w14:paraId="6EF04C56">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2</w:t>
            </w:r>
          </w:p>
        </w:tc>
        <w:tc>
          <w:tcPr>
            <w:tcW w:w="1701" w:type="dxa"/>
            <w:noWrap w:val="0"/>
            <w:vAlign w:val="center"/>
          </w:tcPr>
          <w:p w14:paraId="61CDCFF1">
            <w:pPr>
              <w:keepNext w:val="0"/>
              <w:keepLines w:val="0"/>
              <w:pageBreakBefore w:val="0"/>
              <w:kinsoku/>
              <w:wordWrap/>
              <w:overflowPunct/>
              <w:topLinePunct w:val="0"/>
              <w:bidi w:val="0"/>
              <w:spacing w:line="560" w:lineRule="exact"/>
              <w:ind w:left="-107" w:leftChars="-51" w:right="136" w:rightChars="65"/>
              <w:jc w:val="center"/>
              <w:textAlignment w:val="auto"/>
              <w:rPr>
                <w:rFonts w:hint="eastAsia" w:ascii="宋体" w:hAnsi="宋体" w:cs="宋体"/>
              </w:rPr>
            </w:pPr>
            <w:r>
              <w:rPr>
                <w:rFonts w:hint="eastAsia" w:ascii="宋体" w:hAnsi="宋体" w:cs="宋体"/>
              </w:rPr>
              <w:t>总氮</w:t>
            </w:r>
          </w:p>
        </w:tc>
        <w:tc>
          <w:tcPr>
            <w:tcW w:w="1984" w:type="dxa"/>
            <w:noWrap w:val="0"/>
            <w:vAlign w:val="center"/>
          </w:tcPr>
          <w:p w14:paraId="227FBBA7">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GB/T 15063－2020</w:t>
            </w:r>
          </w:p>
        </w:tc>
        <w:tc>
          <w:tcPr>
            <w:tcW w:w="985" w:type="dxa"/>
            <w:noWrap w:val="0"/>
            <w:vAlign w:val="center"/>
          </w:tcPr>
          <w:p w14:paraId="7460F091">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推荐性</w:t>
            </w:r>
          </w:p>
        </w:tc>
        <w:tc>
          <w:tcPr>
            <w:tcW w:w="1946" w:type="dxa"/>
            <w:noWrap w:val="0"/>
            <w:vAlign w:val="center"/>
          </w:tcPr>
          <w:p w14:paraId="18C4BEBD">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GB/T 8572-2010</w:t>
            </w:r>
          </w:p>
        </w:tc>
        <w:tc>
          <w:tcPr>
            <w:tcW w:w="513" w:type="dxa"/>
            <w:noWrap w:val="0"/>
            <w:vAlign w:val="center"/>
          </w:tcPr>
          <w:p w14:paraId="279D2CB6">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w:t>
            </w:r>
          </w:p>
        </w:tc>
        <w:tc>
          <w:tcPr>
            <w:tcW w:w="513" w:type="dxa"/>
            <w:noWrap w:val="0"/>
            <w:vAlign w:val="center"/>
          </w:tcPr>
          <w:p w14:paraId="625FF97F">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p>
        </w:tc>
        <w:tc>
          <w:tcPr>
            <w:tcW w:w="513" w:type="dxa"/>
            <w:noWrap w:val="0"/>
            <w:vAlign w:val="center"/>
          </w:tcPr>
          <w:p w14:paraId="5133D89C">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p>
        </w:tc>
      </w:tr>
      <w:tr w14:paraId="3A850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10" w:type="dxa"/>
            <w:noWrap w:val="0"/>
            <w:vAlign w:val="center"/>
          </w:tcPr>
          <w:p w14:paraId="23153C55">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3</w:t>
            </w:r>
          </w:p>
        </w:tc>
        <w:tc>
          <w:tcPr>
            <w:tcW w:w="1701" w:type="dxa"/>
            <w:noWrap w:val="0"/>
            <w:vAlign w:val="center"/>
          </w:tcPr>
          <w:p w14:paraId="52663D1A">
            <w:pPr>
              <w:keepNext w:val="0"/>
              <w:keepLines w:val="0"/>
              <w:pageBreakBefore w:val="0"/>
              <w:kinsoku/>
              <w:wordWrap/>
              <w:overflowPunct/>
              <w:topLinePunct w:val="0"/>
              <w:bidi w:val="0"/>
              <w:spacing w:line="560" w:lineRule="exact"/>
              <w:ind w:left="1" w:right="136" w:rightChars="65"/>
              <w:jc w:val="center"/>
              <w:textAlignment w:val="auto"/>
              <w:rPr>
                <w:rFonts w:hint="eastAsia" w:ascii="宋体" w:hAnsi="宋体" w:cs="宋体"/>
              </w:rPr>
            </w:pPr>
            <w:r>
              <w:rPr>
                <w:rFonts w:hint="eastAsia" w:ascii="宋体" w:hAnsi="宋体" w:cs="宋体"/>
              </w:rPr>
              <w:t>有效五氧化</w:t>
            </w:r>
          </w:p>
          <w:p w14:paraId="17FBE1F2">
            <w:pPr>
              <w:keepNext w:val="0"/>
              <w:keepLines w:val="0"/>
              <w:pageBreakBefore w:val="0"/>
              <w:kinsoku/>
              <w:wordWrap/>
              <w:overflowPunct/>
              <w:topLinePunct w:val="0"/>
              <w:bidi w:val="0"/>
              <w:spacing w:line="560" w:lineRule="exact"/>
              <w:ind w:left="1" w:right="136" w:rightChars="65"/>
              <w:jc w:val="center"/>
              <w:textAlignment w:val="auto"/>
              <w:rPr>
                <w:rFonts w:hint="eastAsia" w:ascii="宋体" w:hAnsi="宋体" w:cs="宋体"/>
              </w:rPr>
            </w:pPr>
            <w:r>
              <w:rPr>
                <w:rFonts w:hint="eastAsia" w:ascii="宋体" w:hAnsi="宋体" w:cs="宋体"/>
              </w:rPr>
              <w:t>二磷</w:t>
            </w:r>
          </w:p>
        </w:tc>
        <w:tc>
          <w:tcPr>
            <w:tcW w:w="1984" w:type="dxa"/>
            <w:noWrap w:val="0"/>
            <w:vAlign w:val="center"/>
          </w:tcPr>
          <w:p w14:paraId="6333B919">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GB/T 15063－2020</w:t>
            </w:r>
          </w:p>
        </w:tc>
        <w:tc>
          <w:tcPr>
            <w:tcW w:w="985" w:type="dxa"/>
            <w:noWrap w:val="0"/>
            <w:vAlign w:val="center"/>
          </w:tcPr>
          <w:p w14:paraId="41A9B905">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推荐性</w:t>
            </w:r>
          </w:p>
        </w:tc>
        <w:tc>
          <w:tcPr>
            <w:tcW w:w="1946" w:type="dxa"/>
            <w:noWrap w:val="0"/>
            <w:vAlign w:val="center"/>
          </w:tcPr>
          <w:p w14:paraId="32A263A5">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GB/T 8573-2017</w:t>
            </w:r>
          </w:p>
        </w:tc>
        <w:tc>
          <w:tcPr>
            <w:tcW w:w="513" w:type="dxa"/>
            <w:noWrap w:val="0"/>
            <w:vAlign w:val="center"/>
          </w:tcPr>
          <w:p w14:paraId="49A66A4A">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w:t>
            </w:r>
          </w:p>
        </w:tc>
        <w:tc>
          <w:tcPr>
            <w:tcW w:w="513" w:type="dxa"/>
            <w:noWrap w:val="0"/>
            <w:vAlign w:val="center"/>
          </w:tcPr>
          <w:p w14:paraId="2B92DF59">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p>
        </w:tc>
        <w:tc>
          <w:tcPr>
            <w:tcW w:w="513" w:type="dxa"/>
            <w:noWrap w:val="0"/>
            <w:vAlign w:val="center"/>
          </w:tcPr>
          <w:p w14:paraId="413BB559">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p>
        </w:tc>
      </w:tr>
      <w:tr w14:paraId="055A2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jc w:val="center"/>
        </w:trPr>
        <w:tc>
          <w:tcPr>
            <w:tcW w:w="510" w:type="dxa"/>
            <w:noWrap w:val="0"/>
            <w:vAlign w:val="center"/>
          </w:tcPr>
          <w:p w14:paraId="75B47E96">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4</w:t>
            </w:r>
          </w:p>
        </w:tc>
        <w:tc>
          <w:tcPr>
            <w:tcW w:w="1701" w:type="dxa"/>
            <w:noWrap w:val="0"/>
            <w:vAlign w:val="center"/>
          </w:tcPr>
          <w:p w14:paraId="489E9642">
            <w:pPr>
              <w:keepNext w:val="0"/>
              <w:keepLines w:val="0"/>
              <w:pageBreakBefore w:val="0"/>
              <w:kinsoku/>
              <w:wordWrap/>
              <w:overflowPunct/>
              <w:topLinePunct w:val="0"/>
              <w:bidi w:val="0"/>
              <w:spacing w:line="560" w:lineRule="exact"/>
              <w:ind w:left="-107" w:leftChars="-51" w:right="136" w:rightChars="65"/>
              <w:jc w:val="center"/>
              <w:textAlignment w:val="auto"/>
              <w:rPr>
                <w:rFonts w:hint="eastAsia" w:ascii="宋体" w:hAnsi="宋体" w:cs="宋体"/>
              </w:rPr>
            </w:pPr>
            <w:r>
              <w:rPr>
                <w:rFonts w:hint="eastAsia" w:ascii="宋体" w:hAnsi="宋体" w:cs="宋体"/>
              </w:rPr>
              <w:t>氧化钾</w:t>
            </w:r>
          </w:p>
        </w:tc>
        <w:tc>
          <w:tcPr>
            <w:tcW w:w="1984" w:type="dxa"/>
            <w:noWrap w:val="0"/>
            <w:vAlign w:val="center"/>
          </w:tcPr>
          <w:p w14:paraId="121DD5A7">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GB/T 15063－2020</w:t>
            </w:r>
          </w:p>
        </w:tc>
        <w:tc>
          <w:tcPr>
            <w:tcW w:w="985" w:type="dxa"/>
            <w:noWrap w:val="0"/>
            <w:vAlign w:val="center"/>
          </w:tcPr>
          <w:p w14:paraId="117A727A">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推荐性</w:t>
            </w:r>
          </w:p>
        </w:tc>
        <w:tc>
          <w:tcPr>
            <w:tcW w:w="1946" w:type="dxa"/>
            <w:noWrap w:val="0"/>
            <w:vAlign w:val="center"/>
          </w:tcPr>
          <w:p w14:paraId="656F1806">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GB/T 8574-2010</w:t>
            </w:r>
          </w:p>
        </w:tc>
        <w:tc>
          <w:tcPr>
            <w:tcW w:w="513" w:type="dxa"/>
            <w:noWrap w:val="0"/>
            <w:vAlign w:val="center"/>
          </w:tcPr>
          <w:p w14:paraId="42B120EE">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w:t>
            </w:r>
          </w:p>
        </w:tc>
        <w:tc>
          <w:tcPr>
            <w:tcW w:w="513" w:type="dxa"/>
            <w:noWrap w:val="0"/>
            <w:vAlign w:val="center"/>
          </w:tcPr>
          <w:p w14:paraId="097C4242">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p>
        </w:tc>
        <w:tc>
          <w:tcPr>
            <w:tcW w:w="513" w:type="dxa"/>
            <w:noWrap w:val="0"/>
            <w:vAlign w:val="center"/>
          </w:tcPr>
          <w:p w14:paraId="2F55C6FD">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p>
        </w:tc>
      </w:tr>
      <w:tr w14:paraId="59D72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10" w:type="dxa"/>
            <w:noWrap w:val="0"/>
            <w:vAlign w:val="center"/>
          </w:tcPr>
          <w:p w14:paraId="0D9C53F9">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5</w:t>
            </w:r>
          </w:p>
        </w:tc>
        <w:tc>
          <w:tcPr>
            <w:tcW w:w="1701" w:type="dxa"/>
            <w:noWrap w:val="0"/>
            <w:vAlign w:val="center"/>
          </w:tcPr>
          <w:p w14:paraId="2818FC31">
            <w:pPr>
              <w:keepNext w:val="0"/>
              <w:keepLines w:val="0"/>
              <w:pageBreakBefore w:val="0"/>
              <w:kinsoku/>
              <w:wordWrap/>
              <w:overflowPunct/>
              <w:topLinePunct w:val="0"/>
              <w:bidi w:val="0"/>
              <w:spacing w:line="560" w:lineRule="exact"/>
              <w:ind w:left="-107" w:leftChars="-51" w:right="136" w:rightChars="65"/>
              <w:jc w:val="center"/>
              <w:textAlignment w:val="auto"/>
              <w:rPr>
                <w:rFonts w:hint="eastAsia" w:ascii="宋体" w:hAnsi="宋体" w:cs="宋体"/>
              </w:rPr>
            </w:pPr>
            <w:r>
              <w:rPr>
                <w:rFonts w:hint="eastAsia" w:ascii="宋体" w:hAnsi="宋体" w:cs="宋体"/>
              </w:rPr>
              <w:t>总养分</w:t>
            </w:r>
          </w:p>
        </w:tc>
        <w:tc>
          <w:tcPr>
            <w:tcW w:w="1984" w:type="dxa"/>
            <w:noWrap w:val="0"/>
            <w:vAlign w:val="center"/>
          </w:tcPr>
          <w:p w14:paraId="2BA5A92E">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GB/T 15063－2020</w:t>
            </w:r>
          </w:p>
        </w:tc>
        <w:tc>
          <w:tcPr>
            <w:tcW w:w="985" w:type="dxa"/>
            <w:noWrap w:val="0"/>
            <w:vAlign w:val="center"/>
          </w:tcPr>
          <w:p w14:paraId="603B56C3">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推荐性</w:t>
            </w:r>
          </w:p>
        </w:tc>
        <w:tc>
          <w:tcPr>
            <w:tcW w:w="1946" w:type="dxa"/>
            <w:noWrap w:val="0"/>
            <w:vAlign w:val="center"/>
          </w:tcPr>
          <w:p w14:paraId="37E95762">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GB/T 8572-2010</w:t>
            </w:r>
          </w:p>
          <w:p w14:paraId="4690EC94">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GB/T 8573-2017</w:t>
            </w:r>
          </w:p>
          <w:p w14:paraId="2676C6E3">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GB/T 8574-2010</w:t>
            </w:r>
          </w:p>
        </w:tc>
        <w:tc>
          <w:tcPr>
            <w:tcW w:w="513" w:type="dxa"/>
            <w:noWrap w:val="0"/>
            <w:vAlign w:val="center"/>
          </w:tcPr>
          <w:p w14:paraId="3ABA4279">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w:t>
            </w:r>
          </w:p>
        </w:tc>
        <w:tc>
          <w:tcPr>
            <w:tcW w:w="513" w:type="dxa"/>
            <w:noWrap w:val="0"/>
            <w:vAlign w:val="center"/>
          </w:tcPr>
          <w:p w14:paraId="0BD34B3C">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p>
        </w:tc>
        <w:tc>
          <w:tcPr>
            <w:tcW w:w="513" w:type="dxa"/>
            <w:noWrap w:val="0"/>
            <w:vAlign w:val="center"/>
          </w:tcPr>
          <w:p w14:paraId="6B8428DE">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p>
        </w:tc>
      </w:tr>
      <w:tr w14:paraId="0639C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10" w:type="dxa"/>
            <w:noWrap w:val="0"/>
            <w:vAlign w:val="center"/>
          </w:tcPr>
          <w:p w14:paraId="55C81C6D">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6</w:t>
            </w:r>
          </w:p>
        </w:tc>
        <w:tc>
          <w:tcPr>
            <w:tcW w:w="1701" w:type="dxa"/>
            <w:noWrap w:val="0"/>
            <w:vAlign w:val="center"/>
          </w:tcPr>
          <w:p w14:paraId="3AE70623">
            <w:pPr>
              <w:keepNext w:val="0"/>
              <w:keepLines w:val="0"/>
              <w:pageBreakBefore w:val="0"/>
              <w:kinsoku/>
              <w:wordWrap/>
              <w:overflowPunct/>
              <w:topLinePunct w:val="0"/>
              <w:bidi w:val="0"/>
              <w:spacing w:line="560" w:lineRule="exact"/>
              <w:ind w:left="-107" w:leftChars="-51" w:right="136" w:rightChars="65"/>
              <w:jc w:val="center"/>
              <w:textAlignment w:val="auto"/>
              <w:rPr>
                <w:rFonts w:hint="eastAsia" w:ascii="宋体" w:hAnsi="宋体" w:cs="宋体"/>
              </w:rPr>
            </w:pPr>
            <w:r>
              <w:rPr>
                <w:rFonts w:hint="eastAsia" w:hAnsi="宋体"/>
              </w:rPr>
              <w:t>水溶性磷占有效磷百分率</w:t>
            </w:r>
          </w:p>
        </w:tc>
        <w:tc>
          <w:tcPr>
            <w:tcW w:w="1984" w:type="dxa"/>
            <w:noWrap w:val="0"/>
            <w:vAlign w:val="center"/>
          </w:tcPr>
          <w:p w14:paraId="11D2FA89">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GB/T 15063－2020</w:t>
            </w:r>
          </w:p>
        </w:tc>
        <w:tc>
          <w:tcPr>
            <w:tcW w:w="985" w:type="dxa"/>
            <w:noWrap w:val="0"/>
            <w:vAlign w:val="center"/>
          </w:tcPr>
          <w:p w14:paraId="2D488D23">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推荐性</w:t>
            </w:r>
          </w:p>
        </w:tc>
        <w:tc>
          <w:tcPr>
            <w:tcW w:w="1946" w:type="dxa"/>
            <w:noWrap w:val="0"/>
            <w:vAlign w:val="center"/>
          </w:tcPr>
          <w:p w14:paraId="06CFF84B">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GB/T 8573-2017</w:t>
            </w:r>
          </w:p>
        </w:tc>
        <w:tc>
          <w:tcPr>
            <w:tcW w:w="513" w:type="dxa"/>
            <w:noWrap w:val="0"/>
            <w:vAlign w:val="center"/>
          </w:tcPr>
          <w:p w14:paraId="1EB74D72">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w:t>
            </w:r>
          </w:p>
        </w:tc>
        <w:tc>
          <w:tcPr>
            <w:tcW w:w="513" w:type="dxa"/>
            <w:noWrap w:val="0"/>
            <w:vAlign w:val="center"/>
          </w:tcPr>
          <w:p w14:paraId="14E41F22">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p>
        </w:tc>
        <w:tc>
          <w:tcPr>
            <w:tcW w:w="513" w:type="dxa"/>
            <w:noWrap w:val="0"/>
            <w:vAlign w:val="center"/>
          </w:tcPr>
          <w:p w14:paraId="14C59E69">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p>
        </w:tc>
      </w:tr>
      <w:tr w14:paraId="78EAC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510" w:type="dxa"/>
            <w:noWrap w:val="0"/>
            <w:vAlign w:val="center"/>
          </w:tcPr>
          <w:p w14:paraId="3B1304CB">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7</w:t>
            </w:r>
          </w:p>
        </w:tc>
        <w:tc>
          <w:tcPr>
            <w:tcW w:w="1701" w:type="dxa"/>
            <w:noWrap w:val="0"/>
            <w:vAlign w:val="center"/>
          </w:tcPr>
          <w:p w14:paraId="3970A034">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水分的质量分数</w:t>
            </w:r>
          </w:p>
        </w:tc>
        <w:tc>
          <w:tcPr>
            <w:tcW w:w="1984" w:type="dxa"/>
            <w:noWrap w:val="0"/>
            <w:vAlign w:val="center"/>
          </w:tcPr>
          <w:p w14:paraId="003A44FF">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GB/T 15063－2020</w:t>
            </w:r>
          </w:p>
        </w:tc>
        <w:tc>
          <w:tcPr>
            <w:tcW w:w="985" w:type="dxa"/>
            <w:noWrap w:val="0"/>
            <w:vAlign w:val="center"/>
          </w:tcPr>
          <w:p w14:paraId="27C90831">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推荐性</w:t>
            </w:r>
          </w:p>
        </w:tc>
        <w:tc>
          <w:tcPr>
            <w:tcW w:w="1946" w:type="dxa"/>
            <w:noWrap w:val="0"/>
            <w:vAlign w:val="center"/>
          </w:tcPr>
          <w:p w14:paraId="3DA1DE17">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GB/T 8576-2010</w:t>
            </w:r>
          </w:p>
        </w:tc>
        <w:tc>
          <w:tcPr>
            <w:tcW w:w="513" w:type="dxa"/>
            <w:noWrap w:val="0"/>
            <w:vAlign w:val="center"/>
          </w:tcPr>
          <w:p w14:paraId="5DF2BDE6">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p>
        </w:tc>
        <w:tc>
          <w:tcPr>
            <w:tcW w:w="513" w:type="dxa"/>
            <w:noWrap w:val="0"/>
            <w:vAlign w:val="center"/>
          </w:tcPr>
          <w:p w14:paraId="38DD126A">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w:t>
            </w:r>
          </w:p>
        </w:tc>
        <w:tc>
          <w:tcPr>
            <w:tcW w:w="513" w:type="dxa"/>
            <w:noWrap w:val="0"/>
            <w:vAlign w:val="center"/>
          </w:tcPr>
          <w:p w14:paraId="3795A77E">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p>
        </w:tc>
      </w:tr>
      <w:tr w14:paraId="272C5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4" w:hRule="atLeast"/>
          <w:jc w:val="center"/>
        </w:trPr>
        <w:tc>
          <w:tcPr>
            <w:tcW w:w="510" w:type="dxa"/>
            <w:noWrap w:val="0"/>
            <w:vAlign w:val="center"/>
          </w:tcPr>
          <w:p w14:paraId="4217643D">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8</w:t>
            </w:r>
          </w:p>
        </w:tc>
        <w:tc>
          <w:tcPr>
            <w:tcW w:w="1701" w:type="dxa"/>
            <w:noWrap w:val="0"/>
            <w:vAlign w:val="center"/>
          </w:tcPr>
          <w:p w14:paraId="20D1B8B9">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粒度</w:t>
            </w:r>
          </w:p>
        </w:tc>
        <w:tc>
          <w:tcPr>
            <w:tcW w:w="1984" w:type="dxa"/>
            <w:noWrap w:val="0"/>
            <w:vAlign w:val="center"/>
          </w:tcPr>
          <w:p w14:paraId="1A30B1A5">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GB/T 15063－2020</w:t>
            </w:r>
          </w:p>
        </w:tc>
        <w:tc>
          <w:tcPr>
            <w:tcW w:w="985" w:type="dxa"/>
            <w:noWrap w:val="0"/>
            <w:vAlign w:val="center"/>
          </w:tcPr>
          <w:p w14:paraId="3BDE1E3D">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推荐性</w:t>
            </w:r>
          </w:p>
        </w:tc>
        <w:tc>
          <w:tcPr>
            <w:tcW w:w="1946" w:type="dxa"/>
            <w:noWrap w:val="0"/>
            <w:vAlign w:val="center"/>
          </w:tcPr>
          <w:p w14:paraId="12D677DC">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ascii="宋体" w:hAnsi="宋体" w:cs="宋体"/>
              </w:rPr>
              <w:t>GB/T 24891-2010</w:t>
            </w:r>
          </w:p>
        </w:tc>
        <w:tc>
          <w:tcPr>
            <w:tcW w:w="513" w:type="dxa"/>
            <w:noWrap w:val="0"/>
            <w:vAlign w:val="center"/>
          </w:tcPr>
          <w:p w14:paraId="654604F1">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p>
        </w:tc>
        <w:tc>
          <w:tcPr>
            <w:tcW w:w="513" w:type="dxa"/>
            <w:noWrap w:val="0"/>
            <w:vAlign w:val="center"/>
          </w:tcPr>
          <w:p w14:paraId="463BEAAD">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w:t>
            </w:r>
          </w:p>
        </w:tc>
        <w:tc>
          <w:tcPr>
            <w:tcW w:w="513" w:type="dxa"/>
            <w:noWrap w:val="0"/>
            <w:vAlign w:val="center"/>
          </w:tcPr>
          <w:p w14:paraId="6E323A81">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p>
        </w:tc>
      </w:tr>
      <w:tr w14:paraId="182A0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510" w:type="dxa"/>
            <w:noWrap w:val="0"/>
            <w:vAlign w:val="center"/>
          </w:tcPr>
          <w:p w14:paraId="5AB62A22">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9</w:t>
            </w:r>
          </w:p>
        </w:tc>
        <w:tc>
          <w:tcPr>
            <w:tcW w:w="1701" w:type="dxa"/>
            <w:noWrap w:val="0"/>
            <w:vAlign w:val="center"/>
          </w:tcPr>
          <w:p w14:paraId="2E5850AC">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氯离子</w:t>
            </w:r>
          </w:p>
        </w:tc>
        <w:tc>
          <w:tcPr>
            <w:tcW w:w="1984" w:type="dxa"/>
            <w:noWrap w:val="0"/>
            <w:vAlign w:val="center"/>
          </w:tcPr>
          <w:p w14:paraId="44B3649E">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GB/T 15063－2020</w:t>
            </w:r>
          </w:p>
        </w:tc>
        <w:tc>
          <w:tcPr>
            <w:tcW w:w="985" w:type="dxa"/>
            <w:noWrap w:val="0"/>
            <w:vAlign w:val="center"/>
          </w:tcPr>
          <w:p w14:paraId="43D063EE">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推荐性</w:t>
            </w:r>
          </w:p>
        </w:tc>
        <w:tc>
          <w:tcPr>
            <w:tcW w:w="1946" w:type="dxa"/>
            <w:noWrap w:val="0"/>
            <w:vAlign w:val="center"/>
          </w:tcPr>
          <w:p w14:paraId="7993BD52">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ascii="宋体" w:hAnsi="宋体" w:cs="宋体"/>
              </w:rPr>
              <w:t>GB/T 24890-2010</w:t>
            </w:r>
          </w:p>
        </w:tc>
        <w:tc>
          <w:tcPr>
            <w:tcW w:w="513" w:type="dxa"/>
            <w:noWrap w:val="0"/>
            <w:vAlign w:val="center"/>
          </w:tcPr>
          <w:p w14:paraId="236AB093">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p>
        </w:tc>
        <w:tc>
          <w:tcPr>
            <w:tcW w:w="513" w:type="dxa"/>
            <w:noWrap w:val="0"/>
            <w:vAlign w:val="center"/>
          </w:tcPr>
          <w:p w14:paraId="44447F81">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w:t>
            </w:r>
          </w:p>
        </w:tc>
        <w:tc>
          <w:tcPr>
            <w:tcW w:w="513" w:type="dxa"/>
            <w:noWrap w:val="0"/>
            <w:vAlign w:val="center"/>
          </w:tcPr>
          <w:p w14:paraId="16CC2AD7">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p>
        </w:tc>
      </w:tr>
      <w:tr w14:paraId="6FE95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10" w:type="dxa"/>
            <w:noWrap w:val="0"/>
            <w:vAlign w:val="center"/>
          </w:tcPr>
          <w:p w14:paraId="7E55BADC">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10</w:t>
            </w:r>
          </w:p>
        </w:tc>
        <w:tc>
          <w:tcPr>
            <w:tcW w:w="1701" w:type="dxa"/>
            <w:noWrap w:val="0"/>
            <w:vAlign w:val="center"/>
          </w:tcPr>
          <w:p w14:paraId="4A2B15A4">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标识和质量证明书、包装</w:t>
            </w:r>
          </w:p>
        </w:tc>
        <w:tc>
          <w:tcPr>
            <w:tcW w:w="1984" w:type="dxa"/>
            <w:noWrap w:val="0"/>
            <w:vAlign w:val="center"/>
          </w:tcPr>
          <w:p w14:paraId="43DAD1D0">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GB/T 15063－2020</w:t>
            </w:r>
          </w:p>
        </w:tc>
        <w:tc>
          <w:tcPr>
            <w:tcW w:w="985" w:type="dxa"/>
            <w:noWrap w:val="0"/>
            <w:vAlign w:val="center"/>
          </w:tcPr>
          <w:p w14:paraId="621EB482">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推荐性</w:t>
            </w:r>
          </w:p>
        </w:tc>
        <w:tc>
          <w:tcPr>
            <w:tcW w:w="1946" w:type="dxa"/>
            <w:noWrap w:val="0"/>
            <w:vAlign w:val="center"/>
          </w:tcPr>
          <w:p w14:paraId="6801A704">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GB 18382-2021</w:t>
            </w:r>
          </w:p>
          <w:p w14:paraId="07D713DD">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GB/T 15063－2020</w:t>
            </w:r>
          </w:p>
        </w:tc>
        <w:tc>
          <w:tcPr>
            <w:tcW w:w="513" w:type="dxa"/>
            <w:noWrap w:val="0"/>
            <w:vAlign w:val="center"/>
          </w:tcPr>
          <w:p w14:paraId="4887739E">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p>
        </w:tc>
        <w:tc>
          <w:tcPr>
            <w:tcW w:w="513" w:type="dxa"/>
            <w:noWrap w:val="0"/>
            <w:vAlign w:val="center"/>
          </w:tcPr>
          <w:p w14:paraId="2BC2136C">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p>
        </w:tc>
        <w:tc>
          <w:tcPr>
            <w:tcW w:w="513" w:type="dxa"/>
            <w:noWrap w:val="0"/>
            <w:vAlign w:val="center"/>
          </w:tcPr>
          <w:p w14:paraId="5AC485B5">
            <w:pPr>
              <w:keepNext w:val="0"/>
              <w:keepLines w:val="0"/>
              <w:pageBreakBefore w:val="0"/>
              <w:kinsoku/>
              <w:wordWrap/>
              <w:overflowPunct/>
              <w:topLinePunct w:val="0"/>
              <w:bidi w:val="0"/>
              <w:spacing w:line="560" w:lineRule="exact"/>
              <w:ind w:right="136" w:rightChars="65"/>
              <w:jc w:val="center"/>
              <w:textAlignment w:val="auto"/>
              <w:rPr>
                <w:rFonts w:hint="eastAsia" w:ascii="宋体" w:hAnsi="宋体" w:cs="宋体"/>
              </w:rPr>
            </w:pPr>
            <w:r>
              <w:rPr>
                <w:rFonts w:hint="eastAsia" w:ascii="宋体" w:hAnsi="宋体" w:cs="宋体"/>
              </w:rPr>
              <w:t>●</w:t>
            </w:r>
          </w:p>
        </w:tc>
      </w:tr>
      <w:tr w14:paraId="4D296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3" w:hRule="atLeast"/>
          <w:jc w:val="center"/>
        </w:trPr>
        <w:tc>
          <w:tcPr>
            <w:tcW w:w="8665" w:type="dxa"/>
            <w:gridSpan w:val="8"/>
            <w:noWrap w:val="0"/>
            <w:vAlign w:val="center"/>
          </w:tcPr>
          <w:p w14:paraId="581CFD7B">
            <w:pPr>
              <w:keepNext w:val="0"/>
              <w:keepLines w:val="0"/>
              <w:pageBreakBefore w:val="0"/>
              <w:kinsoku/>
              <w:wordWrap/>
              <w:overflowPunct/>
              <w:topLinePunct w:val="0"/>
              <w:bidi w:val="0"/>
              <w:spacing w:line="560" w:lineRule="exact"/>
              <w:ind w:right="136" w:rightChars="65"/>
              <w:jc w:val="left"/>
              <w:textAlignment w:val="auto"/>
              <w:rPr>
                <w:rFonts w:hint="eastAsia" w:ascii="宋体" w:hAnsi="宋体" w:cs="宋体"/>
              </w:rPr>
            </w:pPr>
            <w:r>
              <w:rPr>
                <w:rFonts w:hint="eastAsia" w:ascii="宋体" w:hAnsi="宋体" w:cs="宋体"/>
                <w:vertAlign w:val="superscript"/>
              </w:rPr>
              <w:t>a</w:t>
            </w:r>
            <w:r>
              <w:rPr>
                <w:rFonts w:hint="eastAsia" w:ascii="宋体" w:hAnsi="宋体" w:cs="宋体"/>
              </w:rPr>
              <w:t xml:space="preserve"> 极重要质量项目。</w:t>
            </w:r>
            <w:r>
              <w:rPr>
                <w:rFonts w:hint="eastAsia" w:ascii="宋体" w:hAnsi="宋体" w:cs="宋体"/>
                <w:vertAlign w:val="superscript"/>
              </w:rPr>
              <w:t xml:space="preserve">b </w:t>
            </w:r>
            <w:r>
              <w:rPr>
                <w:rFonts w:hint="eastAsia" w:ascii="宋体" w:hAnsi="宋体" w:cs="宋体"/>
              </w:rPr>
              <w:t>重要质量项目。</w:t>
            </w:r>
          </w:p>
        </w:tc>
      </w:tr>
    </w:tbl>
    <w:p w14:paraId="2830FC59">
      <w:pPr>
        <w:keepNext w:val="0"/>
        <w:keepLines w:val="0"/>
        <w:pageBreakBefore w:val="0"/>
        <w:kinsoku/>
        <w:wordWrap/>
        <w:overflowPunct/>
        <w:topLinePunct w:val="0"/>
        <w:bidi w:val="0"/>
        <w:snapToGrid w:val="0"/>
        <w:spacing w:before="156" w:beforeLines="50" w:line="560" w:lineRule="exact"/>
        <w:ind w:right="136" w:rightChars="65" w:firstLine="600" w:firstLineChars="200"/>
        <w:textAlignment w:val="auto"/>
        <w:rPr>
          <w:rFonts w:hint="eastAsia" w:ascii="宋体" w:hAnsi="宋体" w:cs="宋体"/>
          <w:b/>
          <w:bCs/>
          <w:sz w:val="30"/>
          <w:szCs w:val="30"/>
        </w:rPr>
      </w:pPr>
      <w:r>
        <w:rPr>
          <w:rFonts w:hint="eastAsia" w:ascii="方正黑体_GBK" w:hAnsi="方正黑体_GBK" w:eastAsia="方正黑体_GBK" w:cs="方正黑体_GBK"/>
          <w:b w:val="0"/>
          <w:bCs w:val="0"/>
          <w:sz w:val="30"/>
          <w:szCs w:val="30"/>
        </w:rPr>
        <w:t>三、判定原则</w:t>
      </w:r>
    </w:p>
    <w:p w14:paraId="05A100B4">
      <w:pPr>
        <w:keepNext w:val="0"/>
        <w:keepLines w:val="0"/>
        <w:pageBreakBefore w:val="0"/>
        <w:kinsoku/>
        <w:wordWrap/>
        <w:overflowPunct/>
        <w:topLinePunct w:val="0"/>
        <w:bidi w:val="0"/>
        <w:spacing w:line="560" w:lineRule="exact"/>
        <w:ind w:right="136" w:rightChars="65" w:firstLine="600" w:firstLineChars="200"/>
        <w:textAlignment w:val="auto"/>
        <w:rPr>
          <w:sz w:val="24"/>
          <w:szCs w:val="24"/>
        </w:rPr>
      </w:pPr>
      <w:r>
        <w:rPr>
          <w:rFonts w:hint="eastAsia" w:ascii="楷体_GB2312" w:hAnsi="楷体_GB2312" w:eastAsia="楷体_GB2312" w:cs="楷体_GB2312"/>
          <w:sz w:val="30"/>
          <w:szCs w:val="30"/>
        </w:rPr>
        <w:t>（一）依据标准</w:t>
      </w:r>
    </w:p>
    <w:p w14:paraId="7953868F">
      <w:pPr>
        <w:keepNext w:val="0"/>
        <w:keepLines w:val="0"/>
        <w:pageBreakBefore w:val="0"/>
        <w:kinsoku/>
        <w:wordWrap/>
        <w:overflowPunct/>
        <w:topLinePunct w:val="0"/>
        <w:bidi w:val="0"/>
        <w:adjustRightInd/>
        <w:snapToGrid/>
        <w:spacing w:line="560" w:lineRule="exact"/>
        <w:ind w:right="136" w:rightChars="65"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1．强制性标准：</w:t>
      </w:r>
    </w:p>
    <w:p w14:paraId="7E6D03B8">
      <w:pPr>
        <w:keepNext w:val="0"/>
        <w:keepLines w:val="0"/>
        <w:pageBreakBefore w:val="0"/>
        <w:kinsoku/>
        <w:wordWrap/>
        <w:overflowPunct/>
        <w:topLinePunct w:val="0"/>
        <w:bidi w:val="0"/>
        <w:adjustRightInd/>
        <w:snapToGrid/>
        <w:spacing w:line="560" w:lineRule="exact"/>
        <w:ind w:right="136" w:rightChars="65"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GB 18382-2021 肥料标识 内容和要求</w:t>
      </w:r>
    </w:p>
    <w:p w14:paraId="30CF9A44">
      <w:pPr>
        <w:pStyle w:val="12"/>
        <w:keepNext w:val="0"/>
        <w:keepLines w:val="0"/>
        <w:pageBreakBefore w:val="0"/>
        <w:tabs>
          <w:tab w:val="clear" w:pos="4201"/>
          <w:tab w:val="clear" w:pos="9298"/>
        </w:tabs>
        <w:kinsoku/>
        <w:wordWrap/>
        <w:overflowPunct/>
        <w:topLinePunct w:val="0"/>
        <w:bidi w:val="0"/>
        <w:adjustRightInd/>
        <w:snapToGrid/>
        <w:spacing w:line="560" w:lineRule="exact"/>
        <w:ind w:right="136" w:rightChars="65" w:firstLine="480"/>
        <w:textAlignment w:val="auto"/>
        <w:rPr>
          <w:rFonts w:hint="eastAsia" w:ascii="仿宋_GB2312" w:hAnsi="仿宋_GB2312" w:eastAsia="仿宋_GB2312" w:cs="仿宋_GB2312"/>
          <w:kern w:val="2"/>
          <w:sz w:val="30"/>
          <w:szCs w:val="30"/>
        </w:rPr>
      </w:pPr>
      <w:r>
        <w:rPr>
          <w:rFonts w:hint="eastAsia" w:ascii="仿宋_GB2312" w:hAnsi="仿宋_GB2312" w:eastAsia="仿宋_GB2312" w:cs="仿宋_GB2312"/>
          <w:kern w:val="2"/>
          <w:sz w:val="30"/>
          <w:szCs w:val="30"/>
        </w:rPr>
        <w:t>2．推荐性标准：</w:t>
      </w:r>
    </w:p>
    <w:p w14:paraId="1768E815">
      <w:pPr>
        <w:keepNext w:val="0"/>
        <w:keepLines w:val="0"/>
        <w:pageBreakBefore w:val="0"/>
        <w:tabs>
          <w:tab w:val="left" w:pos="0"/>
        </w:tabs>
        <w:kinsoku/>
        <w:wordWrap/>
        <w:overflowPunct/>
        <w:topLinePunct w:val="0"/>
        <w:bidi w:val="0"/>
        <w:adjustRightInd/>
        <w:snapToGrid/>
        <w:spacing w:line="560" w:lineRule="exact"/>
        <w:ind w:left="0" w:leftChars="0" w:right="136" w:rightChars="65"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GB/T 15063-2020 复合肥料</w:t>
      </w:r>
    </w:p>
    <w:p w14:paraId="51274F15">
      <w:pPr>
        <w:keepNext w:val="0"/>
        <w:keepLines w:val="0"/>
        <w:pageBreakBefore w:val="0"/>
        <w:kinsoku/>
        <w:wordWrap/>
        <w:overflowPunct/>
        <w:topLinePunct w:val="0"/>
        <w:bidi w:val="0"/>
        <w:adjustRightInd/>
        <w:snapToGrid/>
        <w:spacing w:line="560" w:lineRule="exact"/>
        <w:ind w:right="136" w:rightChars="65"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GB/T 8170-2008 数值修约规则与极限数值的表示和判定法</w:t>
      </w:r>
    </w:p>
    <w:p w14:paraId="20016274">
      <w:pPr>
        <w:keepNext w:val="0"/>
        <w:keepLines w:val="0"/>
        <w:pageBreakBefore w:val="0"/>
        <w:kinsoku/>
        <w:wordWrap/>
        <w:overflowPunct/>
        <w:topLinePunct w:val="0"/>
        <w:bidi w:val="0"/>
        <w:adjustRightInd/>
        <w:snapToGrid/>
        <w:spacing w:line="560" w:lineRule="exact"/>
        <w:ind w:right="136" w:rightChars="65"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GB/T 8572-2010 </w:t>
      </w:r>
      <w:r>
        <w:rPr>
          <w:rFonts w:hint="eastAsia" w:ascii="仿宋_GB2312" w:hAnsi="仿宋_GB2312" w:eastAsia="仿宋_GB2312" w:cs="仿宋_GB2312"/>
          <w:color w:val="auto"/>
          <w:sz w:val="30"/>
          <w:szCs w:val="30"/>
          <w:u w:val="none"/>
        </w:rPr>
        <w:t>复混肥料中总氮含量的测定 蒸馏后滴定法</w:t>
      </w:r>
      <w:r>
        <w:rPr>
          <w:rFonts w:hint="eastAsia" w:ascii="仿宋_GB2312" w:hAnsi="仿宋_GB2312" w:eastAsia="仿宋_GB2312" w:cs="仿宋_GB2312"/>
          <w:sz w:val="30"/>
          <w:szCs w:val="30"/>
        </w:rPr>
        <w:t xml:space="preserve"> </w:t>
      </w:r>
    </w:p>
    <w:p w14:paraId="5DC71324">
      <w:pPr>
        <w:keepNext w:val="0"/>
        <w:keepLines w:val="0"/>
        <w:pageBreakBefore w:val="0"/>
        <w:kinsoku/>
        <w:wordWrap/>
        <w:overflowPunct/>
        <w:topLinePunct w:val="0"/>
        <w:bidi w:val="0"/>
        <w:adjustRightInd/>
        <w:snapToGrid/>
        <w:spacing w:line="560" w:lineRule="exact"/>
        <w:ind w:right="136" w:rightChars="65"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GB/T 8573-2017 </w:t>
      </w:r>
      <w:r>
        <w:rPr>
          <w:rFonts w:hint="eastAsia" w:ascii="仿宋_GB2312" w:hAnsi="仿宋_GB2312" w:eastAsia="仿宋_GB2312" w:cs="仿宋_GB2312"/>
          <w:color w:val="auto"/>
          <w:sz w:val="30"/>
          <w:szCs w:val="30"/>
          <w:u w:val="none"/>
        </w:rPr>
        <w:t>复混肥料中有效磷含量的测定</w:t>
      </w:r>
      <w:r>
        <w:rPr>
          <w:rFonts w:hint="eastAsia" w:ascii="仿宋_GB2312" w:hAnsi="仿宋_GB2312" w:eastAsia="仿宋_GB2312" w:cs="仿宋_GB2312"/>
          <w:sz w:val="30"/>
          <w:szCs w:val="30"/>
        </w:rPr>
        <w:t xml:space="preserve"> </w:t>
      </w:r>
    </w:p>
    <w:p w14:paraId="6D285BAE">
      <w:pPr>
        <w:keepNext w:val="0"/>
        <w:keepLines w:val="0"/>
        <w:pageBreakBefore w:val="0"/>
        <w:kinsoku/>
        <w:wordWrap/>
        <w:overflowPunct/>
        <w:topLinePunct w:val="0"/>
        <w:bidi w:val="0"/>
        <w:adjustRightInd/>
        <w:snapToGrid/>
        <w:spacing w:line="560" w:lineRule="exact"/>
        <w:ind w:right="136" w:rightChars="65"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GB/T 8574-2010 </w:t>
      </w:r>
      <w:r>
        <w:rPr>
          <w:rFonts w:hint="eastAsia" w:ascii="仿宋_GB2312" w:hAnsi="仿宋_GB2312" w:eastAsia="仿宋_GB2312" w:cs="仿宋_GB2312"/>
          <w:color w:val="auto"/>
          <w:sz w:val="30"/>
          <w:szCs w:val="30"/>
          <w:u w:val="none"/>
        </w:rPr>
        <w:t>复混肥料中钾含量的测定 四苯硼酸钾重量法</w:t>
      </w:r>
    </w:p>
    <w:p w14:paraId="50571316">
      <w:pPr>
        <w:keepNext w:val="0"/>
        <w:keepLines w:val="0"/>
        <w:pageBreakBefore w:val="0"/>
        <w:kinsoku/>
        <w:wordWrap/>
        <w:overflowPunct/>
        <w:topLinePunct w:val="0"/>
        <w:bidi w:val="0"/>
        <w:adjustRightInd/>
        <w:snapToGrid/>
        <w:spacing w:line="560" w:lineRule="exact"/>
        <w:ind w:right="136" w:rightChars="65"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GB/T 8576-2010 </w:t>
      </w:r>
      <w:r>
        <w:rPr>
          <w:rFonts w:hint="eastAsia" w:ascii="仿宋_GB2312" w:hAnsi="仿宋_GB2312" w:eastAsia="仿宋_GB2312" w:cs="仿宋_GB2312"/>
          <w:color w:val="auto"/>
          <w:sz w:val="30"/>
          <w:szCs w:val="30"/>
          <w:u w:val="none"/>
        </w:rPr>
        <w:t>复混肥料中游离水含量的测定 真空烘箱法</w:t>
      </w:r>
    </w:p>
    <w:p w14:paraId="7F7EAE8A">
      <w:pPr>
        <w:keepNext w:val="0"/>
        <w:keepLines w:val="0"/>
        <w:pageBreakBefore w:val="0"/>
        <w:kinsoku/>
        <w:wordWrap/>
        <w:overflowPunct/>
        <w:topLinePunct w:val="0"/>
        <w:bidi w:val="0"/>
        <w:adjustRightInd/>
        <w:snapToGrid/>
        <w:spacing w:line="560" w:lineRule="exact"/>
        <w:ind w:right="136" w:rightChars="65"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NY/T 1978-2010肥料 汞、砷、镉、铅</w:t>
      </w:r>
      <w:bookmarkStart w:id="0" w:name="_GoBack"/>
      <w:bookmarkEnd w:id="0"/>
      <w:r>
        <w:rPr>
          <w:rFonts w:hint="eastAsia" w:ascii="仿宋_GB2312" w:hAnsi="仿宋_GB2312" w:eastAsia="仿宋_GB2312" w:cs="仿宋_GB2312"/>
          <w:sz w:val="30"/>
          <w:szCs w:val="30"/>
        </w:rPr>
        <w:t>、铬含量的测定</w:t>
      </w:r>
    </w:p>
    <w:p w14:paraId="2C3FCFC4">
      <w:pPr>
        <w:keepNext w:val="0"/>
        <w:keepLines w:val="0"/>
        <w:pageBreakBefore w:val="0"/>
        <w:kinsoku/>
        <w:wordWrap/>
        <w:overflowPunct/>
        <w:topLinePunct w:val="0"/>
        <w:bidi w:val="0"/>
        <w:adjustRightInd/>
        <w:snapToGrid/>
        <w:spacing w:line="560" w:lineRule="exact"/>
        <w:ind w:right="136" w:rightChars="65"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GB/T 19524.1-2004 肥料中粪大肠菌群的测定</w:t>
      </w:r>
    </w:p>
    <w:p w14:paraId="6A814963">
      <w:pPr>
        <w:keepNext w:val="0"/>
        <w:keepLines w:val="0"/>
        <w:pageBreakBefore w:val="0"/>
        <w:kinsoku/>
        <w:wordWrap/>
        <w:overflowPunct/>
        <w:topLinePunct w:val="0"/>
        <w:bidi w:val="0"/>
        <w:adjustRightInd/>
        <w:snapToGrid/>
        <w:spacing w:line="560" w:lineRule="exact"/>
        <w:ind w:right="136" w:rightChars="65"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GB/T 19524.2-2004 肥料中蛔虫卵死亡率的测定</w:t>
      </w:r>
    </w:p>
    <w:p w14:paraId="519F0916">
      <w:pPr>
        <w:keepNext w:val="0"/>
        <w:keepLines w:val="0"/>
        <w:pageBreakBefore w:val="0"/>
        <w:kinsoku/>
        <w:wordWrap/>
        <w:overflowPunct/>
        <w:topLinePunct w:val="0"/>
        <w:bidi w:val="0"/>
        <w:adjustRightInd/>
        <w:snapToGrid/>
        <w:spacing w:line="560" w:lineRule="exact"/>
        <w:ind w:right="136" w:rightChars="65"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相关的法律法规、部门规章和规范</w:t>
      </w:r>
    </w:p>
    <w:p w14:paraId="26DBD773">
      <w:pPr>
        <w:pStyle w:val="12"/>
        <w:keepNext w:val="0"/>
        <w:keepLines w:val="0"/>
        <w:pageBreakBefore w:val="0"/>
        <w:tabs>
          <w:tab w:val="clear" w:pos="4201"/>
          <w:tab w:val="clear" w:pos="9298"/>
        </w:tabs>
        <w:kinsoku/>
        <w:wordWrap/>
        <w:overflowPunct/>
        <w:topLinePunct w:val="0"/>
        <w:bidi w:val="0"/>
        <w:adjustRightInd/>
        <w:snapToGrid/>
        <w:spacing w:line="560" w:lineRule="exact"/>
        <w:ind w:right="136" w:rightChars="65" w:firstLine="480"/>
        <w:textAlignment w:val="auto"/>
        <w:rPr>
          <w:rFonts w:hint="eastAsia" w:ascii="仿宋_GB2312" w:hAnsi="仿宋_GB2312" w:eastAsia="仿宋_GB2312" w:cs="仿宋_GB2312"/>
          <w:kern w:val="2"/>
          <w:sz w:val="30"/>
          <w:szCs w:val="30"/>
        </w:rPr>
      </w:pPr>
      <w:r>
        <w:rPr>
          <w:rFonts w:hint="eastAsia" w:ascii="仿宋_GB2312" w:hAnsi="仿宋_GB2312" w:eastAsia="仿宋_GB2312" w:cs="仿宋_GB2312"/>
          <w:kern w:val="2"/>
          <w:sz w:val="30"/>
          <w:szCs w:val="30"/>
        </w:rPr>
        <w:t>现行有效的企业标准和产品明示指标或其他相适应的产品标准。</w:t>
      </w:r>
    </w:p>
    <w:p w14:paraId="6E294D2E">
      <w:pPr>
        <w:keepNext w:val="0"/>
        <w:keepLines w:val="0"/>
        <w:pageBreakBefore w:val="0"/>
        <w:kinsoku/>
        <w:wordWrap/>
        <w:overflowPunct/>
        <w:topLinePunct w:val="0"/>
        <w:bidi w:val="0"/>
        <w:adjustRightInd/>
        <w:snapToGrid/>
        <w:spacing w:line="560" w:lineRule="exact"/>
        <w:ind w:right="136" w:rightChars="65" w:firstLine="600" w:firstLineChars="200"/>
        <w:textAlignment w:val="auto"/>
        <w:rPr>
          <w:rFonts w:hint="eastAsia" w:ascii="仿宋_GB2312" w:hAnsi="仿宋_GB2312" w:eastAsia="仿宋_GB2312" w:cs="仿宋_GB2312"/>
          <w:sz w:val="30"/>
          <w:szCs w:val="30"/>
        </w:rPr>
      </w:pPr>
      <w:r>
        <w:rPr>
          <w:rFonts w:hint="eastAsia" w:ascii="楷体_GB2312" w:hAnsi="楷体_GB2312" w:eastAsia="楷体_GB2312" w:cs="楷体_GB2312"/>
          <w:sz w:val="30"/>
          <w:szCs w:val="30"/>
        </w:rPr>
        <w:t>（二）判定原则</w:t>
      </w:r>
    </w:p>
    <w:p w14:paraId="5D5E5171">
      <w:pPr>
        <w:keepNext w:val="0"/>
        <w:keepLines w:val="0"/>
        <w:pageBreakBefore w:val="0"/>
        <w:kinsoku/>
        <w:wordWrap/>
        <w:overflowPunct/>
        <w:topLinePunct w:val="0"/>
        <w:bidi w:val="0"/>
        <w:adjustRightInd/>
        <w:snapToGrid/>
        <w:spacing w:line="560" w:lineRule="exact"/>
        <w:ind w:right="136" w:rightChars="65"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经检验，检验项目全部合格，判定为抽取的样本所检项目未检出不合格；检验项目中任一项或一项以上不合格，判定为被抽查产品不合格。</w:t>
      </w:r>
    </w:p>
    <w:p w14:paraId="2D871D70">
      <w:pPr>
        <w:keepNext w:val="0"/>
        <w:keepLines w:val="0"/>
        <w:pageBreakBefore w:val="0"/>
        <w:kinsoku/>
        <w:wordWrap/>
        <w:overflowPunct/>
        <w:topLinePunct w:val="0"/>
        <w:bidi w:val="0"/>
        <w:adjustRightInd/>
        <w:snapToGrid/>
        <w:spacing w:line="560" w:lineRule="exact"/>
        <w:ind w:right="136" w:rightChars="65"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当被检样品明示的质量要求优于监督抽查实施细则中依据的标准要求时，应按被检样品明示的质量要求判定。</w:t>
      </w:r>
    </w:p>
    <w:p w14:paraId="71159056">
      <w:pPr>
        <w:keepNext w:val="0"/>
        <w:keepLines w:val="0"/>
        <w:pageBreakBefore w:val="0"/>
        <w:kinsoku/>
        <w:wordWrap/>
        <w:overflowPunct/>
        <w:topLinePunct w:val="0"/>
        <w:bidi w:val="0"/>
        <w:adjustRightInd/>
        <w:snapToGrid/>
        <w:spacing w:line="560" w:lineRule="exact"/>
        <w:ind w:right="136" w:rightChars="65"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当被检样品明示的质量要求劣于或不包含监督抽查实施细则中依据的强制性标准要求时，应按照强制性标准要求判定。</w:t>
      </w:r>
    </w:p>
    <w:p w14:paraId="50941D61">
      <w:pPr>
        <w:keepNext w:val="0"/>
        <w:keepLines w:val="0"/>
        <w:pageBreakBefore w:val="0"/>
        <w:kinsoku/>
        <w:wordWrap/>
        <w:overflowPunct/>
        <w:topLinePunct w:val="0"/>
        <w:bidi w:val="0"/>
        <w:adjustRightInd/>
        <w:snapToGrid/>
        <w:spacing w:line="560" w:lineRule="exact"/>
        <w:ind w:right="136" w:rightChars="65"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当被检样品明示的质量要求劣于或包含监督抽查实施细则中依据的推荐性标准要求时，应以被检样品明示的质量要求判定，如相应检验结果不符合相关推荐性标准要求时，应在检验报告中予以说明。</w:t>
      </w:r>
    </w:p>
    <w:p w14:paraId="0ED0C4D6">
      <w:pPr>
        <w:keepNext w:val="0"/>
        <w:keepLines w:val="0"/>
        <w:pageBreakBefore w:val="0"/>
        <w:kinsoku/>
        <w:wordWrap/>
        <w:overflowPunct/>
        <w:topLinePunct w:val="0"/>
        <w:bidi w:val="0"/>
        <w:adjustRightInd/>
        <w:snapToGrid/>
        <w:spacing w:line="560" w:lineRule="exact"/>
        <w:ind w:right="136" w:rightChars="65"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当被检样品明示的质量要求不包含监督抽查实施细则中依据的推荐性标准要求时，该指标不参与判定，但应在检验报告中作出说明。</w:t>
      </w:r>
    </w:p>
    <w:p w14:paraId="6917DFFA">
      <w:pPr>
        <w:keepNext w:val="0"/>
        <w:keepLines w:val="0"/>
        <w:pageBreakBefore w:val="0"/>
        <w:kinsoku/>
        <w:wordWrap/>
        <w:overflowPunct/>
        <w:topLinePunct w:val="0"/>
        <w:bidi w:val="0"/>
        <w:adjustRightInd/>
        <w:snapToGrid/>
        <w:spacing w:line="560" w:lineRule="exact"/>
        <w:ind w:right="136" w:rightChars="65"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当被检样品未能提供有效的企业标准时，按相关国家或行业标准进行判定。</w:t>
      </w:r>
    </w:p>
    <w:p w14:paraId="2B93A26A">
      <w:pPr>
        <w:keepNext w:val="0"/>
        <w:keepLines w:val="0"/>
        <w:pageBreakBefore w:val="0"/>
        <w:kinsoku/>
        <w:wordWrap/>
        <w:overflowPunct/>
        <w:topLinePunct w:val="0"/>
        <w:bidi w:val="0"/>
        <w:adjustRightInd/>
        <w:snapToGrid/>
        <w:spacing w:line="560" w:lineRule="exact"/>
        <w:ind w:right="136" w:rightChars="65"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当被检样品标签标识中执行标准信息和产品类别信息不明或有误，影响检测和判定时，可根据相关强制性标准要求，同时结合产品特点等信息判断和选择相关标准进行检验，并应在检验报告中作出相关说明。</w:t>
      </w:r>
    </w:p>
    <w:p w14:paraId="39B8E017">
      <w:pPr>
        <w:keepNext w:val="0"/>
        <w:keepLines w:val="0"/>
        <w:pageBreakBefore w:val="0"/>
        <w:kinsoku/>
        <w:wordWrap/>
        <w:overflowPunct/>
        <w:topLinePunct w:val="0"/>
        <w:bidi w:val="0"/>
        <w:adjustRightInd/>
        <w:snapToGrid/>
        <w:spacing w:line="560" w:lineRule="exact"/>
        <w:ind w:right="136" w:rightChars="65"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按照产品质量相关法律法规的规定判定。</w:t>
      </w:r>
    </w:p>
    <w:p w14:paraId="06443EAC">
      <w:pPr>
        <w:keepNext w:val="0"/>
        <w:keepLines w:val="0"/>
        <w:pageBreakBefore w:val="0"/>
        <w:kinsoku/>
        <w:wordWrap/>
        <w:overflowPunct/>
        <w:topLinePunct w:val="0"/>
        <w:bidi w:val="0"/>
        <w:adjustRightInd/>
        <w:snapToGrid/>
        <w:spacing w:line="560" w:lineRule="exact"/>
        <w:ind w:right="136" w:rightChars="65"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检验中发现因样品失效或者其他原因致使检验无法进行的，检验人员应如实记录，并提供相关证明材料，报送组织监督抽查的市场监管部门。</w:t>
      </w:r>
    </w:p>
    <w:p w14:paraId="281D115C">
      <w:pPr>
        <w:keepNext w:val="0"/>
        <w:keepLines w:val="0"/>
        <w:pageBreakBefore w:val="0"/>
        <w:kinsoku/>
        <w:wordWrap/>
        <w:overflowPunct/>
        <w:topLinePunct w:val="0"/>
        <w:bidi w:val="0"/>
        <w:adjustRightInd/>
        <w:snapToGrid/>
        <w:spacing w:line="560" w:lineRule="exact"/>
        <w:ind w:right="136" w:rightChars="65" w:firstLine="600" w:firstLineChars="200"/>
        <w:textAlignment w:val="auto"/>
        <w:rPr>
          <w:rFonts w:hint="eastAsia" w:ascii="仿宋_GB2312" w:hAnsi="仿宋_GB2312" w:eastAsia="仿宋_GB2312" w:cs="仿宋_GB2312"/>
          <w:sz w:val="30"/>
          <w:szCs w:val="30"/>
        </w:rPr>
      </w:pPr>
    </w:p>
    <w:sectPr>
      <w:footerReference r:id="rId3" w:type="default"/>
      <w:pgSz w:w="11906" w:h="16838"/>
      <w:pgMar w:top="2098" w:right="1361"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汉鼎简书宋二">
    <w:altName w:val="方正书宋_GBK"/>
    <w:panose1 w:val="02010609010101010101"/>
    <w:charset w:val="86"/>
    <w:family w:val="modern"/>
    <w:pitch w:val="default"/>
    <w:sig w:usb0="00000000" w:usb1="00000000" w:usb2="00000010" w:usb3="00000000" w:csb0="00040000" w:csb1="00000000"/>
  </w:font>
  <w:font w:name="方正书宋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8B1C95">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A2EA9CF">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A2EA9CF">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5D95"/>
    <w:rsid w:val="000125FB"/>
    <w:rsid w:val="000127E6"/>
    <w:rsid w:val="000136DB"/>
    <w:rsid w:val="000301D8"/>
    <w:rsid w:val="00036988"/>
    <w:rsid w:val="000414FE"/>
    <w:rsid w:val="000646A2"/>
    <w:rsid w:val="00085EFA"/>
    <w:rsid w:val="00095ABE"/>
    <w:rsid w:val="000B0EA3"/>
    <w:rsid w:val="000B5B96"/>
    <w:rsid w:val="000D4EA3"/>
    <w:rsid w:val="000E1FBE"/>
    <w:rsid w:val="00106CA6"/>
    <w:rsid w:val="0011327D"/>
    <w:rsid w:val="001151C9"/>
    <w:rsid w:val="001176D6"/>
    <w:rsid w:val="00125C94"/>
    <w:rsid w:val="0013775D"/>
    <w:rsid w:val="00140E93"/>
    <w:rsid w:val="00144876"/>
    <w:rsid w:val="0015542E"/>
    <w:rsid w:val="00163BA3"/>
    <w:rsid w:val="0017017A"/>
    <w:rsid w:val="00171774"/>
    <w:rsid w:val="00174A98"/>
    <w:rsid w:val="00194C7F"/>
    <w:rsid w:val="001B480D"/>
    <w:rsid w:val="001D5942"/>
    <w:rsid w:val="001E3830"/>
    <w:rsid w:val="001F1483"/>
    <w:rsid w:val="001F50E9"/>
    <w:rsid w:val="00200E9E"/>
    <w:rsid w:val="0020396E"/>
    <w:rsid w:val="00204E95"/>
    <w:rsid w:val="00211D35"/>
    <w:rsid w:val="0021338F"/>
    <w:rsid w:val="00245D95"/>
    <w:rsid w:val="00247F6F"/>
    <w:rsid w:val="0025422E"/>
    <w:rsid w:val="0026278E"/>
    <w:rsid w:val="00270EF8"/>
    <w:rsid w:val="00276349"/>
    <w:rsid w:val="00283578"/>
    <w:rsid w:val="002B199F"/>
    <w:rsid w:val="002B1B73"/>
    <w:rsid w:val="002B1B77"/>
    <w:rsid w:val="002B4798"/>
    <w:rsid w:val="002D2048"/>
    <w:rsid w:val="002F06C1"/>
    <w:rsid w:val="002F7ECD"/>
    <w:rsid w:val="00300395"/>
    <w:rsid w:val="0030473E"/>
    <w:rsid w:val="003174B9"/>
    <w:rsid w:val="00322DD9"/>
    <w:rsid w:val="003322E1"/>
    <w:rsid w:val="00345CD5"/>
    <w:rsid w:val="0035707F"/>
    <w:rsid w:val="00372CA9"/>
    <w:rsid w:val="00375C38"/>
    <w:rsid w:val="00380102"/>
    <w:rsid w:val="0038347F"/>
    <w:rsid w:val="003B72EE"/>
    <w:rsid w:val="0041600D"/>
    <w:rsid w:val="00416763"/>
    <w:rsid w:val="004324E7"/>
    <w:rsid w:val="004428EE"/>
    <w:rsid w:val="00456A7D"/>
    <w:rsid w:val="004578C6"/>
    <w:rsid w:val="00463CBA"/>
    <w:rsid w:val="00464A24"/>
    <w:rsid w:val="00475EDA"/>
    <w:rsid w:val="004D2744"/>
    <w:rsid w:val="004D47B1"/>
    <w:rsid w:val="004E007F"/>
    <w:rsid w:val="004E6DBA"/>
    <w:rsid w:val="005151BE"/>
    <w:rsid w:val="00521AD6"/>
    <w:rsid w:val="00523380"/>
    <w:rsid w:val="005370B7"/>
    <w:rsid w:val="005518BA"/>
    <w:rsid w:val="00561D23"/>
    <w:rsid w:val="00564433"/>
    <w:rsid w:val="00570DF3"/>
    <w:rsid w:val="0058230A"/>
    <w:rsid w:val="00584A27"/>
    <w:rsid w:val="005A4E9B"/>
    <w:rsid w:val="005B5FE9"/>
    <w:rsid w:val="005B79BE"/>
    <w:rsid w:val="005B7E96"/>
    <w:rsid w:val="005C3547"/>
    <w:rsid w:val="005D02BF"/>
    <w:rsid w:val="00600880"/>
    <w:rsid w:val="00615659"/>
    <w:rsid w:val="006205AC"/>
    <w:rsid w:val="00632F44"/>
    <w:rsid w:val="00634B96"/>
    <w:rsid w:val="0065663A"/>
    <w:rsid w:val="00660138"/>
    <w:rsid w:val="00663D36"/>
    <w:rsid w:val="0067154F"/>
    <w:rsid w:val="0068205B"/>
    <w:rsid w:val="00686173"/>
    <w:rsid w:val="006913C2"/>
    <w:rsid w:val="006A54E6"/>
    <w:rsid w:val="006E1E83"/>
    <w:rsid w:val="006E5182"/>
    <w:rsid w:val="006F5F72"/>
    <w:rsid w:val="00714BE8"/>
    <w:rsid w:val="00723052"/>
    <w:rsid w:val="00731AAD"/>
    <w:rsid w:val="00736AB3"/>
    <w:rsid w:val="0078350D"/>
    <w:rsid w:val="007856B7"/>
    <w:rsid w:val="007B1C31"/>
    <w:rsid w:val="007B4A3E"/>
    <w:rsid w:val="007B68A2"/>
    <w:rsid w:val="007C607B"/>
    <w:rsid w:val="007D3017"/>
    <w:rsid w:val="007D3C64"/>
    <w:rsid w:val="007E12F9"/>
    <w:rsid w:val="00827025"/>
    <w:rsid w:val="0082766F"/>
    <w:rsid w:val="00837101"/>
    <w:rsid w:val="00841894"/>
    <w:rsid w:val="00867A5F"/>
    <w:rsid w:val="008721A2"/>
    <w:rsid w:val="00872B23"/>
    <w:rsid w:val="00881B2D"/>
    <w:rsid w:val="008C177F"/>
    <w:rsid w:val="008F57EC"/>
    <w:rsid w:val="00900993"/>
    <w:rsid w:val="00914B26"/>
    <w:rsid w:val="0091579D"/>
    <w:rsid w:val="00915EBD"/>
    <w:rsid w:val="009219B6"/>
    <w:rsid w:val="00924D02"/>
    <w:rsid w:val="00965E30"/>
    <w:rsid w:val="009852A8"/>
    <w:rsid w:val="00991E0F"/>
    <w:rsid w:val="009A155C"/>
    <w:rsid w:val="009B418A"/>
    <w:rsid w:val="009C232D"/>
    <w:rsid w:val="009C7BDA"/>
    <w:rsid w:val="009D309B"/>
    <w:rsid w:val="009E00F7"/>
    <w:rsid w:val="009E73B3"/>
    <w:rsid w:val="009F46D9"/>
    <w:rsid w:val="00A26472"/>
    <w:rsid w:val="00A31305"/>
    <w:rsid w:val="00A4165E"/>
    <w:rsid w:val="00A43E09"/>
    <w:rsid w:val="00A940D5"/>
    <w:rsid w:val="00A94F93"/>
    <w:rsid w:val="00AB02F9"/>
    <w:rsid w:val="00AB1490"/>
    <w:rsid w:val="00AB1B05"/>
    <w:rsid w:val="00AC7E6F"/>
    <w:rsid w:val="00AD50EB"/>
    <w:rsid w:val="00AD7A97"/>
    <w:rsid w:val="00AE6168"/>
    <w:rsid w:val="00AF4063"/>
    <w:rsid w:val="00B143E2"/>
    <w:rsid w:val="00B25504"/>
    <w:rsid w:val="00B35BF1"/>
    <w:rsid w:val="00B44270"/>
    <w:rsid w:val="00B558C1"/>
    <w:rsid w:val="00B61613"/>
    <w:rsid w:val="00B65341"/>
    <w:rsid w:val="00B812E0"/>
    <w:rsid w:val="00BA190D"/>
    <w:rsid w:val="00BA6A4C"/>
    <w:rsid w:val="00BA6BAE"/>
    <w:rsid w:val="00BB2E0D"/>
    <w:rsid w:val="00BC10BA"/>
    <w:rsid w:val="00BC4CD5"/>
    <w:rsid w:val="00BC5426"/>
    <w:rsid w:val="00BF36D3"/>
    <w:rsid w:val="00BF6FBE"/>
    <w:rsid w:val="00C11A45"/>
    <w:rsid w:val="00C2331F"/>
    <w:rsid w:val="00C271AD"/>
    <w:rsid w:val="00C31D46"/>
    <w:rsid w:val="00C41B6F"/>
    <w:rsid w:val="00C54A9C"/>
    <w:rsid w:val="00C61645"/>
    <w:rsid w:val="00C64A57"/>
    <w:rsid w:val="00C759DD"/>
    <w:rsid w:val="00C81B18"/>
    <w:rsid w:val="00C82C55"/>
    <w:rsid w:val="00C92D99"/>
    <w:rsid w:val="00C959FB"/>
    <w:rsid w:val="00CC4B4E"/>
    <w:rsid w:val="00CD30D5"/>
    <w:rsid w:val="00CE134B"/>
    <w:rsid w:val="00CE56B5"/>
    <w:rsid w:val="00CE7BF0"/>
    <w:rsid w:val="00CF3DFA"/>
    <w:rsid w:val="00D066C5"/>
    <w:rsid w:val="00D176F6"/>
    <w:rsid w:val="00D77710"/>
    <w:rsid w:val="00D9698E"/>
    <w:rsid w:val="00DC1FD3"/>
    <w:rsid w:val="00DC5DC2"/>
    <w:rsid w:val="00DE6B93"/>
    <w:rsid w:val="00DF7331"/>
    <w:rsid w:val="00E03217"/>
    <w:rsid w:val="00E340B4"/>
    <w:rsid w:val="00E510B5"/>
    <w:rsid w:val="00E91CEC"/>
    <w:rsid w:val="00EC4EEB"/>
    <w:rsid w:val="00ED331C"/>
    <w:rsid w:val="00EF4522"/>
    <w:rsid w:val="00F05129"/>
    <w:rsid w:val="00F222D5"/>
    <w:rsid w:val="00F33906"/>
    <w:rsid w:val="00F370FC"/>
    <w:rsid w:val="00F4760A"/>
    <w:rsid w:val="00F517C0"/>
    <w:rsid w:val="00F60AC9"/>
    <w:rsid w:val="00F766E0"/>
    <w:rsid w:val="00F90407"/>
    <w:rsid w:val="00F97B32"/>
    <w:rsid w:val="00FB223B"/>
    <w:rsid w:val="00FC060C"/>
    <w:rsid w:val="00FE17ED"/>
    <w:rsid w:val="00FF064A"/>
    <w:rsid w:val="00FF1F2E"/>
    <w:rsid w:val="00FF7C45"/>
    <w:rsid w:val="017E5BC2"/>
    <w:rsid w:val="01973646"/>
    <w:rsid w:val="02B246E0"/>
    <w:rsid w:val="02B453D3"/>
    <w:rsid w:val="03130DD1"/>
    <w:rsid w:val="03301DAE"/>
    <w:rsid w:val="03326234"/>
    <w:rsid w:val="03B24876"/>
    <w:rsid w:val="04C1375E"/>
    <w:rsid w:val="052F616D"/>
    <w:rsid w:val="055C1DC5"/>
    <w:rsid w:val="069D4C06"/>
    <w:rsid w:val="07D426EC"/>
    <w:rsid w:val="07F57502"/>
    <w:rsid w:val="085B31E9"/>
    <w:rsid w:val="086A62CD"/>
    <w:rsid w:val="08AF28BF"/>
    <w:rsid w:val="08C165BD"/>
    <w:rsid w:val="093216E0"/>
    <w:rsid w:val="09570ADC"/>
    <w:rsid w:val="09B64DE8"/>
    <w:rsid w:val="0A183CCD"/>
    <w:rsid w:val="0A7F7952"/>
    <w:rsid w:val="0B89289B"/>
    <w:rsid w:val="0BAB076A"/>
    <w:rsid w:val="0C0B383E"/>
    <w:rsid w:val="0CC522A5"/>
    <w:rsid w:val="0D9C49C1"/>
    <w:rsid w:val="0DB65762"/>
    <w:rsid w:val="0DB87D13"/>
    <w:rsid w:val="0E1C2459"/>
    <w:rsid w:val="0E91671F"/>
    <w:rsid w:val="0E9A6D56"/>
    <w:rsid w:val="0EB13E13"/>
    <w:rsid w:val="0EFD3778"/>
    <w:rsid w:val="0F447B6A"/>
    <w:rsid w:val="0F7B6F59"/>
    <w:rsid w:val="10C5703F"/>
    <w:rsid w:val="10D36FF6"/>
    <w:rsid w:val="120949E5"/>
    <w:rsid w:val="122A74C3"/>
    <w:rsid w:val="124464A6"/>
    <w:rsid w:val="12803B2A"/>
    <w:rsid w:val="12C645B2"/>
    <w:rsid w:val="134808E0"/>
    <w:rsid w:val="13EE3F4D"/>
    <w:rsid w:val="14301601"/>
    <w:rsid w:val="1535316F"/>
    <w:rsid w:val="154E5FF0"/>
    <w:rsid w:val="156B0CE9"/>
    <w:rsid w:val="16814C8F"/>
    <w:rsid w:val="17135318"/>
    <w:rsid w:val="17DF2FEE"/>
    <w:rsid w:val="182A7CF8"/>
    <w:rsid w:val="182B5679"/>
    <w:rsid w:val="18391713"/>
    <w:rsid w:val="18C419A0"/>
    <w:rsid w:val="18F763D5"/>
    <w:rsid w:val="19C7155A"/>
    <w:rsid w:val="1A483F18"/>
    <w:rsid w:val="1AA84E59"/>
    <w:rsid w:val="1B01713A"/>
    <w:rsid w:val="1B1406D9"/>
    <w:rsid w:val="1C3C4525"/>
    <w:rsid w:val="1CE937F9"/>
    <w:rsid w:val="1D32433F"/>
    <w:rsid w:val="1DC36025"/>
    <w:rsid w:val="1DDB3F6C"/>
    <w:rsid w:val="1E5D01C6"/>
    <w:rsid w:val="1F640789"/>
    <w:rsid w:val="1F803AAA"/>
    <w:rsid w:val="1FFC4655"/>
    <w:rsid w:val="211C347B"/>
    <w:rsid w:val="21A13FB5"/>
    <w:rsid w:val="22241163"/>
    <w:rsid w:val="223819CF"/>
    <w:rsid w:val="224D7E10"/>
    <w:rsid w:val="22BD1F6D"/>
    <w:rsid w:val="24195738"/>
    <w:rsid w:val="241E6991"/>
    <w:rsid w:val="24723B3F"/>
    <w:rsid w:val="2488084F"/>
    <w:rsid w:val="250D51F5"/>
    <w:rsid w:val="253D1DC3"/>
    <w:rsid w:val="25A126D7"/>
    <w:rsid w:val="272A1193"/>
    <w:rsid w:val="27482EA8"/>
    <w:rsid w:val="27556D98"/>
    <w:rsid w:val="27D21600"/>
    <w:rsid w:val="285C6421"/>
    <w:rsid w:val="28AE7E80"/>
    <w:rsid w:val="28C009F8"/>
    <w:rsid w:val="29252700"/>
    <w:rsid w:val="2A1F65E7"/>
    <w:rsid w:val="2A580192"/>
    <w:rsid w:val="2A7A77CD"/>
    <w:rsid w:val="2B913788"/>
    <w:rsid w:val="2BAD66AB"/>
    <w:rsid w:val="2C7165BA"/>
    <w:rsid w:val="2D53373B"/>
    <w:rsid w:val="2DE635AD"/>
    <w:rsid w:val="2E1C2F71"/>
    <w:rsid w:val="2E5E2AD3"/>
    <w:rsid w:val="2EA311A5"/>
    <w:rsid w:val="300F31E0"/>
    <w:rsid w:val="310635C3"/>
    <w:rsid w:val="312B0CAE"/>
    <w:rsid w:val="32831922"/>
    <w:rsid w:val="3286097A"/>
    <w:rsid w:val="32B9217D"/>
    <w:rsid w:val="33CF20B0"/>
    <w:rsid w:val="34372C41"/>
    <w:rsid w:val="34761407"/>
    <w:rsid w:val="34FB2945"/>
    <w:rsid w:val="35D1380C"/>
    <w:rsid w:val="36516AC9"/>
    <w:rsid w:val="378259DC"/>
    <w:rsid w:val="383E2E9E"/>
    <w:rsid w:val="38441BB2"/>
    <w:rsid w:val="38803E25"/>
    <w:rsid w:val="3896220E"/>
    <w:rsid w:val="38B548EC"/>
    <w:rsid w:val="39E31351"/>
    <w:rsid w:val="39E82A5D"/>
    <w:rsid w:val="3AC91C7B"/>
    <w:rsid w:val="3C3C6EB8"/>
    <w:rsid w:val="3C591A76"/>
    <w:rsid w:val="3CA979EC"/>
    <w:rsid w:val="3CD2400E"/>
    <w:rsid w:val="3D841E74"/>
    <w:rsid w:val="3E9077CB"/>
    <w:rsid w:val="3F0B2BCA"/>
    <w:rsid w:val="3FBC405C"/>
    <w:rsid w:val="40BD5553"/>
    <w:rsid w:val="40C8565E"/>
    <w:rsid w:val="41104C62"/>
    <w:rsid w:val="42372A02"/>
    <w:rsid w:val="42443F34"/>
    <w:rsid w:val="459D266D"/>
    <w:rsid w:val="45F81469"/>
    <w:rsid w:val="46D447A8"/>
    <w:rsid w:val="48192585"/>
    <w:rsid w:val="4898017A"/>
    <w:rsid w:val="496836CA"/>
    <w:rsid w:val="498F4014"/>
    <w:rsid w:val="49FD2F1A"/>
    <w:rsid w:val="49FE12A7"/>
    <w:rsid w:val="4A7C529F"/>
    <w:rsid w:val="4B527D78"/>
    <w:rsid w:val="4BB36EBF"/>
    <w:rsid w:val="4BEE6B87"/>
    <w:rsid w:val="4C936575"/>
    <w:rsid w:val="4D5365E7"/>
    <w:rsid w:val="4D565080"/>
    <w:rsid w:val="4DE8340D"/>
    <w:rsid w:val="4E662756"/>
    <w:rsid w:val="4EA77490"/>
    <w:rsid w:val="4F4B2AF3"/>
    <w:rsid w:val="50D26BBC"/>
    <w:rsid w:val="50FA0ECA"/>
    <w:rsid w:val="511F5372"/>
    <w:rsid w:val="52315F78"/>
    <w:rsid w:val="535D3531"/>
    <w:rsid w:val="5642171E"/>
    <w:rsid w:val="56535229"/>
    <w:rsid w:val="56E055C1"/>
    <w:rsid w:val="56E56E37"/>
    <w:rsid w:val="58310027"/>
    <w:rsid w:val="58D42C8B"/>
    <w:rsid w:val="58F51B5B"/>
    <w:rsid w:val="5937525B"/>
    <w:rsid w:val="59F4051D"/>
    <w:rsid w:val="5A7275CC"/>
    <w:rsid w:val="5BDD05DC"/>
    <w:rsid w:val="5C141E7F"/>
    <w:rsid w:val="5C523833"/>
    <w:rsid w:val="5CBD41C0"/>
    <w:rsid w:val="5DDA45E7"/>
    <w:rsid w:val="5FDA4FF2"/>
    <w:rsid w:val="607E5C88"/>
    <w:rsid w:val="613869B5"/>
    <w:rsid w:val="615B747F"/>
    <w:rsid w:val="621068FF"/>
    <w:rsid w:val="628B4B7D"/>
    <w:rsid w:val="629A238C"/>
    <w:rsid w:val="62DD13B1"/>
    <w:rsid w:val="630B40DC"/>
    <w:rsid w:val="637A5468"/>
    <w:rsid w:val="638F0245"/>
    <w:rsid w:val="6398497B"/>
    <w:rsid w:val="63BA6E08"/>
    <w:rsid w:val="64006BC9"/>
    <w:rsid w:val="650961F0"/>
    <w:rsid w:val="651B5AD1"/>
    <w:rsid w:val="65235B83"/>
    <w:rsid w:val="65610E78"/>
    <w:rsid w:val="65EE2314"/>
    <w:rsid w:val="65FF057A"/>
    <w:rsid w:val="66D167EB"/>
    <w:rsid w:val="68203E61"/>
    <w:rsid w:val="6BB27262"/>
    <w:rsid w:val="6BBEC69A"/>
    <w:rsid w:val="6BF34A7B"/>
    <w:rsid w:val="6C3A1AE4"/>
    <w:rsid w:val="6CAC699C"/>
    <w:rsid w:val="6D776B72"/>
    <w:rsid w:val="6D965508"/>
    <w:rsid w:val="6E8F56EF"/>
    <w:rsid w:val="6F9A6B98"/>
    <w:rsid w:val="6FFD743F"/>
    <w:rsid w:val="70097570"/>
    <w:rsid w:val="703A40E4"/>
    <w:rsid w:val="717A47B5"/>
    <w:rsid w:val="7185590A"/>
    <w:rsid w:val="7197671D"/>
    <w:rsid w:val="71E03D7F"/>
    <w:rsid w:val="720533AF"/>
    <w:rsid w:val="729E4086"/>
    <w:rsid w:val="730A6D10"/>
    <w:rsid w:val="73600748"/>
    <w:rsid w:val="75583B8B"/>
    <w:rsid w:val="75BA480E"/>
    <w:rsid w:val="76E56752"/>
    <w:rsid w:val="76F467BA"/>
    <w:rsid w:val="770C29E9"/>
    <w:rsid w:val="774D0F4E"/>
    <w:rsid w:val="78FC286F"/>
    <w:rsid w:val="79105937"/>
    <w:rsid w:val="79513EFA"/>
    <w:rsid w:val="7980420F"/>
    <w:rsid w:val="79876851"/>
    <w:rsid w:val="79E53A81"/>
    <w:rsid w:val="7B883A1D"/>
    <w:rsid w:val="7D937087"/>
    <w:rsid w:val="7DD074E3"/>
    <w:rsid w:val="7E65069C"/>
    <w:rsid w:val="976E2889"/>
    <w:rsid w:val="F6F75C8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Plain Text"/>
    <w:basedOn w:val="1"/>
    <w:link w:val="7"/>
    <w:qFormat/>
    <w:uiPriority w:val="0"/>
    <w:rPr>
      <w:rFonts w:ascii="宋体" w:hAnsi="Courier New" w:eastAsia="仿宋_GB2312" w:cs="宋体"/>
    </w:rPr>
  </w:style>
  <w:style w:type="paragraph" w:styleId="3">
    <w:name w:val="footer"/>
    <w:basedOn w:val="1"/>
    <w:uiPriority w:val="0"/>
    <w:pPr>
      <w:tabs>
        <w:tab w:val="center" w:pos="4153"/>
        <w:tab w:val="right" w:pos="8306"/>
      </w:tabs>
      <w:snapToGrid w:val="0"/>
      <w:jc w:val="left"/>
    </w:pPr>
    <w:rPr>
      <w:rFonts w:ascii="Calibri" w:hAnsi="Calibri" w:eastAsia="宋体" w:cs="Times New Roman"/>
      <w:kern w:val="2"/>
      <w:sz w:val="18"/>
      <w:szCs w:val="18"/>
      <w:lang w:val="en-US" w:eastAsia="zh-CN" w:bidi="ar-SA"/>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7">
    <w:name w:val="纯文本 Char"/>
    <w:link w:val="2"/>
    <w:uiPriority w:val="0"/>
    <w:rPr>
      <w:rFonts w:ascii="宋体" w:hAnsi="Courier New" w:eastAsia="仿宋_GB2312" w:cs="宋体"/>
      <w:kern w:val="2"/>
      <w:sz w:val="21"/>
      <w:szCs w:val="21"/>
    </w:rPr>
  </w:style>
  <w:style w:type="character" w:customStyle="1" w:styleId="8">
    <w:name w:val="font21"/>
    <w:qFormat/>
    <w:uiPriority w:val="0"/>
    <w:rPr>
      <w:rFonts w:hint="default" w:ascii="Times New Roman" w:hAnsi="Times New Roman" w:cs="Times New Roman"/>
      <w:color w:val="000000"/>
      <w:sz w:val="20"/>
      <w:szCs w:val="20"/>
      <w:u w:val="none"/>
    </w:rPr>
  </w:style>
  <w:style w:type="character" w:customStyle="1" w:styleId="9">
    <w:name w:val="font31"/>
    <w:qFormat/>
    <w:uiPriority w:val="0"/>
    <w:rPr>
      <w:rFonts w:hint="eastAsia" w:ascii="宋体" w:hAnsi="宋体" w:eastAsia="宋体" w:cs="宋体"/>
      <w:color w:val="000000"/>
      <w:sz w:val="20"/>
      <w:szCs w:val="20"/>
      <w:u w:val="none"/>
    </w:rPr>
  </w:style>
  <w:style w:type="character" w:customStyle="1" w:styleId="10">
    <w:name w:val="font11"/>
    <w:qFormat/>
    <w:uiPriority w:val="0"/>
    <w:rPr>
      <w:rFonts w:hint="default" w:ascii="Times New Roman" w:hAnsi="Times New Roman" w:cs="Times New Roman"/>
      <w:color w:val="000000"/>
      <w:sz w:val="20"/>
      <w:szCs w:val="20"/>
      <w:u w:val="none"/>
      <w:vertAlign w:val="subscript"/>
    </w:rPr>
  </w:style>
  <w:style w:type="paragraph" w:customStyle="1" w:styleId="11">
    <w:name w:val="肥料正文"/>
    <w:basedOn w:val="1"/>
    <w:uiPriority w:val="0"/>
    <w:pPr>
      <w:adjustRightInd w:val="0"/>
      <w:snapToGrid w:val="0"/>
      <w:spacing w:line="317" w:lineRule="auto"/>
      <w:ind w:firstLine="200" w:firstLineChars="200"/>
    </w:pPr>
    <w:rPr>
      <w:rFonts w:eastAsia="汉鼎简书宋二"/>
      <w:snapToGrid w:val="0"/>
      <w:spacing w:val="2"/>
      <w:kern w:val="0"/>
      <w:sz w:val="22"/>
      <w:szCs w:val="24"/>
    </w:rPr>
  </w:style>
  <w:style w:type="paragraph" w:customStyle="1" w:styleId="12">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sz w:val="21"/>
      <w:szCs w:val="22"/>
      <w:lang w:val="en-US" w:eastAsia="zh-CN" w:bidi="ar-SA"/>
    </w:rPr>
  </w:style>
  <w:style w:type="table" w:customStyle="1" w:styleId="13">
    <w:name w:val="Table Normal"/>
    <w:unhideWhenUsed/>
    <w:qFormat/>
    <w:uiPriority w:val="2"/>
    <w:rPr>
      <w:rFonts w:ascii="Calibri" w:hAnsi="Calibri"/>
      <w:lang w:val="en-US" w:eastAsia="zh-CN" w:bidi="ar-SA"/>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1296</Words>
  <Characters>1753</Characters>
  <Lines>16</Lines>
  <Paragraphs>4</Paragraphs>
  <TotalTime>5</TotalTime>
  <ScaleCrop>false</ScaleCrop>
  <LinksUpToDate>false</LinksUpToDate>
  <CharactersWithSpaces>1806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2014-10-30T04:08:00Z</dcterms:created>
  <dc:creator>zyzx</dc:creator>
  <cp:lastModifiedBy>风</cp:lastModifiedBy>
  <cp:lastPrinted>2019-02-20T23:41:00Z</cp:lastPrinted>
  <dcterms:modified xsi:type="dcterms:W3CDTF">2025-11-17T07:45:55Z</dcterms:modified>
  <cp:revision>84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9E41FCABD0F541A5B2D0A921F619A629_13</vt:lpwstr>
  </property>
  <property fmtid="{D5CDD505-2E9C-101B-9397-08002B2CF9AE}" pid="4" name="KSOTemplateDocerSaveRecord">
    <vt:lpwstr>eyJoZGlkIjoiYmY5MjFlZTA4YWQzODNhNjgxNGE3MWU0MWFjMmQ2MjEiLCJ1c2VySWQiOiI3MjU1MTU3NzIifQ==</vt:lpwstr>
  </property>
</Properties>
</file>