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肇庆市聚氯乙烯绝缘电缆电线</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产品质量监督抽查实施细则</w:t>
      </w:r>
    </w:p>
    <w:p>
      <w:pPr>
        <w:keepNext w:val="0"/>
        <w:keepLines w:val="0"/>
        <w:pageBreakBefore w:val="0"/>
        <w:widowControl w:val="0"/>
        <w:kinsoku/>
        <w:wordWrap/>
        <w:overflowPunct/>
        <w:topLinePunct w:val="0"/>
        <w:autoSpaceDE/>
        <w:autoSpaceDN/>
        <w:bidi w:val="0"/>
        <w:spacing w:line="560" w:lineRule="exact"/>
        <w:jc w:val="center"/>
        <w:textAlignment w:val="auto"/>
        <w:rPr>
          <w:rFonts w:eastAsia="楷体_GB2312"/>
          <w:color w:val="000000"/>
          <w:sz w:val="32"/>
          <w:szCs w:val="32"/>
        </w:rPr>
      </w:pPr>
      <w:r>
        <w:rPr>
          <w:rFonts w:eastAsia="楷体_GB2312"/>
          <w:color w:val="000000"/>
          <w:sz w:val="32"/>
          <w:szCs w:val="32"/>
        </w:rPr>
        <w:t>（202</w:t>
      </w:r>
      <w:r>
        <w:rPr>
          <w:rFonts w:hint="eastAsia" w:eastAsia="楷体_GB2312"/>
          <w:color w:val="000000"/>
          <w:sz w:val="32"/>
          <w:szCs w:val="32"/>
        </w:rPr>
        <w:t>5</w:t>
      </w:r>
      <w:r>
        <w:rPr>
          <w:rFonts w:eastAsia="楷体_GB2312"/>
          <w:color w:val="000000"/>
          <w:sz w:val="32"/>
          <w:szCs w:val="32"/>
        </w:rPr>
        <w:t>年版）</w:t>
      </w:r>
    </w:p>
    <w:p>
      <w:pPr>
        <w:keepNext w:val="0"/>
        <w:keepLines w:val="0"/>
        <w:pageBreakBefore w:val="0"/>
        <w:widowControl w:val="0"/>
        <w:kinsoku/>
        <w:wordWrap/>
        <w:overflowPunct/>
        <w:topLinePunct w:val="0"/>
        <w:autoSpaceDE/>
        <w:autoSpaceDN/>
        <w:bidi w:val="0"/>
        <w:spacing w:line="560" w:lineRule="exact"/>
        <w:jc w:val="center"/>
        <w:textAlignment w:val="auto"/>
        <w:rPr>
          <w:color w:val="000000"/>
          <w:sz w:val="32"/>
          <w:szCs w:val="32"/>
        </w:rPr>
      </w:pPr>
    </w:p>
    <w:p>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rFonts w:hint="eastAsia" w:ascii="方正黑体_GBK" w:hAnsi="方正黑体_GBK" w:eastAsia="方正黑体_GBK" w:cs="方正黑体_GBK"/>
          <w:b w:val="0"/>
          <w:bCs/>
          <w:sz w:val="30"/>
          <w:szCs w:val="30"/>
        </w:rPr>
      </w:pPr>
      <w:r>
        <w:rPr>
          <w:rFonts w:hint="eastAsia" w:ascii="方正黑体_GBK" w:hAnsi="方正黑体_GBK" w:eastAsia="方正黑体_GBK" w:cs="方正黑体_GBK"/>
          <w:b w:val="0"/>
          <w:bCs/>
          <w:sz w:val="30"/>
          <w:szCs w:val="30"/>
          <w:lang w:eastAsia="zh-CN"/>
        </w:rPr>
        <w:t>一、</w:t>
      </w:r>
      <w:r>
        <w:rPr>
          <w:rFonts w:hint="eastAsia" w:ascii="方正黑体_GBK" w:hAnsi="方正黑体_GBK" w:eastAsia="方正黑体_GBK" w:cs="方正黑体_GBK"/>
          <w:b w:val="0"/>
          <w:bCs/>
          <w:sz w:val="30"/>
          <w:szCs w:val="30"/>
        </w:rPr>
        <w:t>抽样方法</w:t>
      </w:r>
    </w:p>
    <w:p>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在企业的待销产品中随机抽取有产品质量检验合格证明或者以其他形式表明合格的、近期生产的产品。</w:t>
      </w:r>
    </w:p>
    <w:p>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抽查样品基数满足抽样数量即可。</w:t>
      </w:r>
    </w:p>
    <w:p>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每批次抽取样品2卷/扎/捆，每卷/扎/捆长度应大于30米。其中1卷/扎/捆作为检验样品，另外1卷/扎/捆作为备用样品。</w:t>
      </w:r>
    </w:p>
    <w:p>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rFonts w:asciiTheme="minorEastAsia" w:hAnsiTheme="minorEastAsia" w:eastAsiaTheme="minorEastAsia"/>
          <w:sz w:val="30"/>
          <w:szCs w:val="30"/>
        </w:rPr>
      </w:pPr>
      <w:r>
        <w:rPr>
          <w:rFonts w:hint="eastAsia" w:ascii="仿宋_GB2312" w:hAnsi="仿宋_GB2312" w:eastAsia="仿宋_GB2312" w:cs="仿宋_GB2312"/>
          <w:sz w:val="30"/>
          <w:szCs w:val="30"/>
        </w:rPr>
        <w:t>随机数一般可使用随机数表、随机数骰子或扑克牌等方法产生。</w:t>
      </w:r>
    </w:p>
    <w:p>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rFonts w:hint="eastAsia" w:ascii="方正黑体_GBK" w:hAnsi="方正黑体_GBK" w:eastAsia="方正黑体_GBK" w:cs="方正黑体_GBK"/>
          <w:b w:val="0"/>
          <w:bCs/>
          <w:sz w:val="30"/>
          <w:szCs w:val="30"/>
          <w:lang w:eastAsia="zh-CN"/>
        </w:rPr>
      </w:pPr>
      <w:r>
        <w:rPr>
          <w:rFonts w:hint="eastAsia" w:ascii="方正黑体_GBK" w:hAnsi="方正黑体_GBK" w:eastAsia="方正黑体_GBK" w:cs="方正黑体_GBK"/>
          <w:b w:val="0"/>
          <w:bCs/>
          <w:sz w:val="30"/>
          <w:szCs w:val="30"/>
          <w:lang w:eastAsia="zh-CN"/>
        </w:rPr>
        <w:t>二、检验依据</w:t>
      </w:r>
    </w:p>
    <w:tbl>
      <w:tblPr>
        <w:tblStyle w:val="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79"/>
        <w:gridCol w:w="5381"/>
        <w:gridCol w:w="29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57" w:hRule="atLeast"/>
          <w:tblHeader/>
        </w:trPr>
        <w:tc>
          <w:tcPr>
            <w:tcW w:w="479" w:type="pct"/>
            <w:shd w:val="clear" w:color="auto" w:fill="EDEBE0"/>
            <w:vAlign w:val="center"/>
          </w:tcPr>
          <w:p>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Theme="minorEastAsia" w:hAnsiTheme="minorEastAsia" w:eastAsiaTheme="minorEastAsia"/>
                <w:b/>
                <w:bCs/>
                <w:szCs w:val="21"/>
              </w:rPr>
            </w:pPr>
            <w:r>
              <w:rPr>
                <w:rFonts w:asciiTheme="minorEastAsia" w:hAnsiTheme="minorEastAsia" w:eastAsiaTheme="minorEastAsia"/>
                <w:b/>
                <w:bCs/>
                <w:szCs w:val="21"/>
              </w:rPr>
              <w:t>序号</w:t>
            </w:r>
          </w:p>
        </w:tc>
        <w:tc>
          <w:tcPr>
            <w:tcW w:w="2933" w:type="pct"/>
            <w:shd w:val="clear" w:color="auto" w:fill="EDEBE0"/>
            <w:vAlign w:val="center"/>
          </w:tcPr>
          <w:p>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Theme="minorEastAsia" w:hAnsiTheme="minorEastAsia" w:eastAsiaTheme="minorEastAsia"/>
                <w:b/>
                <w:bCs/>
                <w:szCs w:val="21"/>
              </w:rPr>
            </w:pPr>
            <w:r>
              <w:rPr>
                <w:rFonts w:asciiTheme="minorEastAsia" w:hAnsiTheme="minorEastAsia" w:eastAsiaTheme="minorEastAsia"/>
                <w:b/>
                <w:bCs/>
                <w:szCs w:val="21"/>
              </w:rPr>
              <w:t>检验项目</w:t>
            </w:r>
          </w:p>
        </w:tc>
        <w:tc>
          <w:tcPr>
            <w:tcW w:w="1588" w:type="pct"/>
            <w:shd w:val="clear" w:color="auto" w:fill="EDEBE0"/>
            <w:vAlign w:val="center"/>
          </w:tcPr>
          <w:p>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Theme="minorEastAsia" w:hAnsiTheme="minorEastAsia" w:eastAsiaTheme="minorEastAsia"/>
                <w:b/>
                <w:bCs/>
                <w:szCs w:val="21"/>
              </w:rPr>
            </w:pPr>
            <w:r>
              <w:rPr>
                <w:rFonts w:asciiTheme="minorEastAsia" w:hAnsiTheme="minorEastAsia" w:eastAsiaTheme="minorEastAsia"/>
                <w:b/>
                <w:bCs/>
                <w:szCs w:val="21"/>
              </w:rPr>
              <w:t>检验方法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trPr>
        <w:tc>
          <w:tcPr>
            <w:tcW w:w="479"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asciiTheme="minorEastAsia" w:hAnsiTheme="minorEastAsia" w:eastAsiaTheme="minorEastAsia"/>
                <w:kern w:val="0"/>
                <w:szCs w:val="21"/>
              </w:rPr>
              <w:t>1</w:t>
            </w:r>
          </w:p>
        </w:tc>
        <w:tc>
          <w:tcPr>
            <w:tcW w:w="2933"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asciiTheme="minorEastAsia" w:hAnsiTheme="minorEastAsia" w:eastAsiaTheme="minorEastAsia"/>
                <w:kern w:val="0"/>
                <w:szCs w:val="21"/>
              </w:rPr>
              <w:t>导体电阻</w:t>
            </w:r>
          </w:p>
        </w:tc>
        <w:tc>
          <w:tcPr>
            <w:tcW w:w="1588"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hint="eastAsia" w:asciiTheme="minorEastAsia" w:hAnsiTheme="minorEastAsia" w:eastAsiaTheme="minorEastAsia"/>
                <w:kern w:val="0"/>
                <w:szCs w:val="21"/>
              </w:rPr>
              <w:t>GB/T 5023.2-2008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trPr>
        <w:tc>
          <w:tcPr>
            <w:tcW w:w="479"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asciiTheme="minorEastAsia" w:hAnsiTheme="minorEastAsia" w:eastAsiaTheme="minorEastAsia"/>
                <w:kern w:val="0"/>
                <w:szCs w:val="21"/>
              </w:rPr>
              <w:t>2</w:t>
            </w:r>
          </w:p>
        </w:tc>
        <w:tc>
          <w:tcPr>
            <w:tcW w:w="2933"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asciiTheme="minorEastAsia" w:hAnsiTheme="minorEastAsia" w:eastAsiaTheme="minorEastAsia"/>
                <w:kern w:val="0"/>
                <w:szCs w:val="21"/>
              </w:rPr>
              <w:t>成品电缆电压试验</w:t>
            </w:r>
          </w:p>
        </w:tc>
        <w:tc>
          <w:tcPr>
            <w:tcW w:w="1588"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trPr>
        <w:tc>
          <w:tcPr>
            <w:tcW w:w="479"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hint="eastAsia" w:asciiTheme="minorEastAsia" w:hAnsiTheme="minorEastAsia" w:eastAsiaTheme="minorEastAsia"/>
                <w:kern w:val="0"/>
                <w:szCs w:val="21"/>
              </w:rPr>
              <w:t>3</w:t>
            </w:r>
          </w:p>
        </w:tc>
        <w:tc>
          <w:tcPr>
            <w:tcW w:w="2933"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asciiTheme="minorEastAsia" w:hAnsiTheme="minorEastAsia" w:eastAsiaTheme="minorEastAsia"/>
                <w:kern w:val="0"/>
                <w:szCs w:val="21"/>
              </w:rPr>
              <w:t>绝缘电阻</w:t>
            </w:r>
          </w:p>
        </w:tc>
        <w:tc>
          <w:tcPr>
            <w:tcW w:w="1588"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trPr>
        <w:tc>
          <w:tcPr>
            <w:tcW w:w="479"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asciiTheme="minorEastAsia" w:hAnsiTheme="minorEastAsia" w:eastAsiaTheme="minorEastAsia"/>
                <w:kern w:val="0"/>
                <w:szCs w:val="21"/>
              </w:rPr>
              <w:t>4</w:t>
            </w:r>
          </w:p>
        </w:tc>
        <w:tc>
          <w:tcPr>
            <w:tcW w:w="2933"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asciiTheme="minorEastAsia" w:hAnsiTheme="minorEastAsia" w:eastAsiaTheme="minorEastAsia"/>
                <w:kern w:val="0"/>
                <w:szCs w:val="21"/>
              </w:rPr>
              <w:t>绝缘平均厚度</w:t>
            </w:r>
            <w:bookmarkStart w:id="0" w:name="_GoBack"/>
            <w:bookmarkEnd w:id="0"/>
          </w:p>
        </w:tc>
        <w:tc>
          <w:tcPr>
            <w:tcW w:w="1588"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trPr>
        <w:tc>
          <w:tcPr>
            <w:tcW w:w="479"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asciiTheme="minorEastAsia" w:hAnsiTheme="minorEastAsia" w:eastAsiaTheme="minorEastAsia"/>
                <w:kern w:val="0"/>
                <w:szCs w:val="21"/>
              </w:rPr>
              <w:t>5</w:t>
            </w:r>
          </w:p>
        </w:tc>
        <w:tc>
          <w:tcPr>
            <w:tcW w:w="2933"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asciiTheme="minorEastAsia" w:hAnsiTheme="minorEastAsia" w:eastAsiaTheme="minorEastAsia"/>
                <w:kern w:val="0"/>
                <w:szCs w:val="21"/>
              </w:rPr>
              <w:t>绝缘最薄处厚度</w:t>
            </w:r>
          </w:p>
        </w:tc>
        <w:tc>
          <w:tcPr>
            <w:tcW w:w="1588"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trPr>
        <w:tc>
          <w:tcPr>
            <w:tcW w:w="479"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asciiTheme="minorEastAsia" w:hAnsiTheme="minorEastAsia" w:eastAsiaTheme="minorEastAsia"/>
                <w:kern w:val="0"/>
                <w:szCs w:val="21"/>
              </w:rPr>
              <w:t>6</w:t>
            </w:r>
          </w:p>
        </w:tc>
        <w:tc>
          <w:tcPr>
            <w:tcW w:w="2933"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asciiTheme="minorEastAsia" w:hAnsiTheme="minorEastAsia" w:eastAsiaTheme="minorEastAsia"/>
                <w:kern w:val="0"/>
                <w:szCs w:val="21"/>
              </w:rPr>
              <w:t>护套平均厚度</w:t>
            </w:r>
          </w:p>
        </w:tc>
        <w:tc>
          <w:tcPr>
            <w:tcW w:w="1588"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trPr>
        <w:tc>
          <w:tcPr>
            <w:tcW w:w="479"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asciiTheme="minorEastAsia" w:hAnsiTheme="minorEastAsia" w:eastAsiaTheme="minorEastAsia"/>
                <w:kern w:val="0"/>
                <w:szCs w:val="21"/>
              </w:rPr>
              <w:t>7</w:t>
            </w:r>
          </w:p>
        </w:tc>
        <w:tc>
          <w:tcPr>
            <w:tcW w:w="2933"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asciiTheme="minorEastAsia" w:hAnsiTheme="minorEastAsia" w:eastAsiaTheme="minorEastAsia"/>
                <w:kern w:val="0"/>
                <w:szCs w:val="21"/>
              </w:rPr>
              <w:t>护套最薄处厚度</w:t>
            </w:r>
          </w:p>
        </w:tc>
        <w:tc>
          <w:tcPr>
            <w:tcW w:w="1588"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trPr>
        <w:tc>
          <w:tcPr>
            <w:tcW w:w="479"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asciiTheme="minorEastAsia" w:hAnsiTheme="minorEastAsia" w:eastAsiaTheme="minorEastAsia"/>
                <w:kern w:val="0"/>
                <w:szCs w:val="21"/>
              </w:rPr>
              <w:t>8</w:t>
            </w:r>
          </w:p>
        </w:tc>
        <w:tc>
          <w:tcPr>
            <w:tcW w:w="2933" w:type="pct"/>
            <w:vAlign w:val="center"/>
          </w:tcPr>
          <w:p>
            <w:pPr>
              <w:keepNext w:val="0"/>
              <w:keepLines w:val="0"/>
              <w:pageBreakBefore w:val="0"/>
              <w:widowControl w:val="0"/>
              <w:kinsoku/>
              <w:wordWrap/>
              <w:overflowPunct/>
              <w:topLinePunct w:val="0"/>
              <w:autoSpaceDE/>
              <w:autoSpaceDN/>
              <w:bidi w:val="0"/>
              <w:snapToGrid w:val="0"/>
              <w:spacing w:line="560" w:lineRule="exact"/>
              <w:jc w:val="center"/>
              <w:textAlignment w:val="auto"/>
              <w:rPr>
                <w:rFonts w:cs="宋体"/>
              </w:rPr>
            </w:pPr>
            <w:r>
              <w:rPr>
                <w:rFonts w:hint="eastAsia" w:cs="宋体"/>
              </w:rPr>
              <w:t>椭圆度</w:t>
            </w:r>
          </w:p>
        </w:tc>
        <w:tc>
          <w:tcPr>
            <w:tcW w:w="1588"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trPr>
        <w:tc>
          <w:tcPr>
            <w:tcW w:w="479"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hint="eastAsia" w:asciiTheme="minorEastAsia" w:hAnsiTheme="minorEastAsia" w:eastAsiaTheme="minorEastAsia"/>
                <w:kern w:val="0"/>
                <w:szCs w:val="21"/>
              </w:rPr>
              <w:t>9</w:t>
            </w:r>
          </w:p>
        </w:tc>
        <w:tc>
          <w:tcPr>
            <w:tcW w:w="2933" w:type="pct"/>
            <w:vAlign w:val="center"/>
          </w:tcPr>
          <w:p>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宋体"/>
              </w:rPr>
            </w:pPr>
            <w:r>
              <w:rPr>
                <w:rFonts w:hint="eastAsia" w:ascii="宋体" w:hAnsi="宋体"/>
              </w:rPr>
              <w:t>平均外径</w:t>
            </w:r>
          </w:p>
        </w:tc>
        <w:tc>
          <w:tcPr>
            <w:tcW w:w="1588"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trPr>
        <w:tc>
          <w:tcPr>
            <w:tcW w:w="479"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hint="eastAsia" w:asciiTheme="minorEastAsia" w:hAnsiTheme="minorEastAsia" w:eastAsiaTheme="minorEastAsia"/>
                <w:kern w:val="0"/>
                <w:szCs w:val="21"/>
              </w:rPr>
              <w:t>10</w:t>
            </w:r>
          </w:p>
        </w:tc>
        <w:tc>
          <w:tcPr>
            <w:tcW w:w="2933"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asciiTheme="minorEastAsia" w:hAnsiTheme="minorEastAsia" w:eastAsiaTheme="minorEastAsia"/>
                <w:kern w:val="0"/>
                <w:szCs w:val="21"/>
              </w:rPr>
              <w:t>绝缘老化前抗张强度</w:t>
            </w:r>
          </w:p>
        </w:tc>
        <w:tc>
          <w:tcPr>
            <w:tcW w:w="1588"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asciiTheme="minorEastAsia" w:hAnsiTheme="minorEastAsia" w:eastAsiaTheme="minorEastAsia"/>
                <w:kern w:val="0"/>
                <w:szCs w:val="21"/>
              </w:rPr>
              <w:t xml:space="preserve">GB/T </w:t>
            </w:r>
            <w:r>
              <w:rPr>
                <w:rFonts w:hint="eastAsia" w:asciiTheme="minorEastAsia" w:hAnsiTheme="minorEastAsia" w:eastAsiaTheme="minorEastAsia"/>
                <w:kern w:val="0"/>
                <w:szCs w:val="21"/>
              </w:rPr>
              <w:t>2951.11-2008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trPr>
        <w:tc>
          <w:tcPr>
            <w:tcW w:w="479"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hint="eastAsia" w:asciiTheme="minorEastAsia" w:hAnsiTheme="minorEastAsia" w:eastAsiaTheme="minorEastAsia"/>
                <w:kern w:val="0"/>
                <w:szCs w:val="21"/>
              </w:rPr>
              <w:t>11</w:t>
            </w:r>
          </w:p>
        </w:tc>
        <w:tc>
          <w:tcPr>
            <w:tcW w:w="2933"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asciiTheme="minorEastAsia" w:hAnsiTheme="minorEastAsia" w:eastAsiaTheme="minorEastAsia"/>
                <w:kern w:val="0"/>
                <w:szCs w:val="21"/>
              </w:rPr>
              <w:t>绝缘老化前断裂伸长率</w:t>
            </w:r>
          </w:p>
        </w:tc>
        <w:tc>
          <w:tcPr>
            <w:tcW w:w="1588"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trPr>
        <w:tc>
          <w:tcPr>
            <w:tcW w:w="479"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hint="eastAsia" w:asciiTheme="minorEastAsia" w:hAnsiTheme="minorEastAsia" w:eastAsiaTheme="minorEastAsia"/>
                <w:kern w:val="0"/>
                <w:szCs w:val="21"/>
              </w:rPr>
              <w:t>12</w:t>
            </w:r>
          </w:p>
        </w:tc>
        <w:tc>
          <w:tcPr>
            <w:tcW w:w="2933"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asciiTheme="minorEastAsia" w:hAnsiTheme="minorEastAsia" w:eastAsiaTheme="minorEastAsia"/>
                <w:kern w:val="0"/>
                <w:szCs w:val="21"/>
              </w:rPr>
              <w:t>护套老化前抗张强度</w:t>
            </w:r>
          </w:p>
        </w:tc>
        <w:tc>
          <w:tcPr>
            <w:tcW w:w="1588"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asciiTheme="minorEastAsia" w:hAnsiTheme="minorEastAsia" w:eastAsiaTheme="minorEastAsia"/>
                <w:kern w:val="0"/>
                <w:szCs w:val="21"/>
              </w:rPr>
              <w:t xml:space="preserve">GB/T </w:t>
            </w:r>
            <w:r>
              <w:rPr>
                <w:rFonts w:hint="eastAsia" w:asciiTheme="minorEastAsia" w:hAnsiTheme="minorEastAsia" w:eastAsiaTheme="minorEastAsia"/>
                <w:kern w:val="0"/>
                <w:szCs w:val="21"/>
              </w:rPr>
              <w:t>2951.11-2008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trPr>
        <w:tc>
          <w:tcPr>
            <w:tcW w:w="479"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hint="eastAsia" w:asciiTheme="minorEastAsia" w:hAnsiTheme="minorEastAsia" w:eastAsiaTheme="minorEastAsia"/>
                <w:kern w:val="0"/>
                <w:szCs w:val="21"/>
              </w:rPr>
              <w:t>13</w:t>
            </w:r>
          </w:p>
        </w:tc>
        <w:tc>
          <w:tcPr>
            <w:tcW w:w="2933"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asciiTheme="minorEastAsia" w:hAnsiTheme="minorEastAsia" w:eastAsiaTheme="minorEastAsia"/>
                <w:kern w:val="0"/>
                <w:szCs w:val="21"/>
              </w:rPr>
              <w:t>护套老化前断裂伸长率</w:t>
            </w:r>
          </w:p>
        </w:tc>
        <w:tc>
          <w:tcPr>
            <w:tcW w:w="1588"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trPr>
        <w:tc>
          <w:tcPr>
            <w:tcW w:w="479"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hint="eastAsia" w:asciiTheme="minorEastAsia" w:hAnsiTheme="minorEastAsia" w:eastAsiaTheme="minorEastAsia"/>
                <w:kern w:val="0"/>
                <w:szCs w:val="21"/>
              </w:rPr>
              <w:t>14</w:t>
            </w:r>
          </w:p>
        </w:tc>
        <w:tc>
          <w:tcPr>
            <w:tcW w:w="2933" w:type="pct"/>
            <w:vAlign w:val="center"/>
          </w:tcPr>
          <w:p>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宋体" w:hAnsi="宋体"/>
              </w:rPr>
            </w:pPr>
            <w:r>
              <w:rPr>
                <w:rFonts w:hint="eastAsia" w:ascii="宋体" w:hAnsi="宋体"/>
              </w:rPr>
              <w:t>标志</w:t>
            </w:r>
          </w:p>
        </w:tc>
        <w:tc>
          <w:tcPr>
            <w:tcW w:w="1588"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cs="宋体" w:asciiTheme="minorEastAsia" w:hAnsiTheme="minorEastAsia" w:eastAsiaTheme="minorEastAsia"/>
              </w:rPr>
              <w:t xml:space="preserve">GB/T </w:t>
            </w:r>
            <w:r>
              <w:rPr>
                <w:rFonts w:hint="eastAsia" w:cs="宋体" w:asciiTheme="minorEastAsia" w:hAnsiTheme="minorEastAsia" w:eastAsiaTheme="minorEastAsia"/>
              </w:rPr>
              <w:t>5</w:t>
            </w:r>
            <w:r>
              <w:rPr>
                <w:rFonts w:cs="宋体" w:asciiTheme="minorEastAsia" w:hAnsiTheme="minorEastAsia" w:eastAsiaTheme="minorEastAsia"/>
              </w:rPr>
              <w:t>023</w:t>
            </w:r>
            <w:r>
              <w:rPr>
                <w:rFonts w:hint="eastAsia" w:cs="宋体" w:asciiTheme="minorEastAsia" w:hAnsiTheme="minorEastAsia" w:eastAsiaTheme="minorEastAsia"/>
              </w:rPr>
              <w:t>.1</w:t>
            </w:r>
            <w:r>
              <w:rPr>
                <w:rFonts w:cs="宋体" w:asciiTheme="minorEastAsia" w:hAnsiTheme="minorEastAsia" w:eastAsiaTheme="minorEastAsia"/>
              </w:rPr>
              <w:t>-2008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trPr>
        <w:tc>
          <w:tcPr>
            <w:tcW w:w="479" w:type="pct"/>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r>
              <w:rPr>
                <w:rFonts w:hint="eastAsia" w:asciiTheme="minorEastAsia" w:hAnsiTheme="minorEastAsia" w:eastAsiaTheme="minorEastAsia"/>
                <w:kern w:val="0"/>
                <w:szCs w:val="21"/>
              </w:rPr>
              <w:t>15</w:t>
            </w:r>
          </w:p>
        </w:tc>
        <w:tc>
          <w:tcPr>
            <w:tcW w:w="2933" w:type="pct"/>
            <w:vAlign w:val="center"/>
          </w:tcPr>
          <w:p>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宋体" w:hAnsi="宋体"/>
              </w:rPr>
            </w:pPr>
            <w:r>
              <w:rPr>
                <w:rFonts w:hint="eastAsia" w:ascii="宋体" w:hAnsi="宋体"/>
              </w:rPr>
              <w:t>标志耐擦性</w:t>
            </w:r>
          </w:p>
        </w:tc>
        <w:tc>
          <w:tcPr>
            <w:tcW w:w="1588"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heme="minorEastAsia" w:hAnsiTheme="minorEastAsia" w:eastAsiaTheme="minorEastAsia"/>
                <w:kern w:val="0"/>
                <w:szCs w:val="21"/>
              </w:rPr>
            </w:pPr>
          </w:p>
        </w:tc>
      </w:tr>
    </w:tbl>
    <w:p>
      <w:pPr>
        <w:keepNext w:val="0"/>
        <w:keepLines w:val="0"/>
        <w:pageBreakBefore w:val="0"/>
        <w:widowControl w:val="0"/>
        <w:kinsoku/>
        <w:wordWrap/>
        <w:overflowPunct/>
        <w:topLinePunct w:val="0"/>
        <w:autoSpaceDE/>
        <w:autoSpaceDN/>
        <w:bidi w:val="0"/>
        <w:snapToGrid w:val="0"/>
        <w:spacing w:line="560" w:lineRule="exact"/>
        <w:ind w:firstLine="513" w:firstLineChars="171"/>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spacing w:line="560" w:lineRule="exact"/>
        <w:ind w:firstLine="513" w:firstLineChars="171"/>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spacing w:line="560" w:lineRule="exact"/>
        <w:ind w:firstLine="600" w:firstLineChars="200"/>
        <w:textAlignment w:val="auto"/>
        <w:rPr>
          <w:rFonts w:ascii="宋体" w:hAnsi="宋体"/>
          <w:b/>
          <w:sz w:val="30"/>
          <w:szCs w:val="30"/>
        </w:rPr>
      </w:pPr>
      <w:r>
        <w:rPr>
          <w:rFonts w:hint="eastAsia" w:ascii="方正黑体_GBK" w:hAnsi="方正黑体_GBK" w:eastAsia="方正黑体_GBK" w:cs="方正黑体_GBK"/>
          <w:b w:val="0"/>
          <w:bCs/>
          <w:sz w:val="30"/>
          <w:szCs w:val="30"/>
          <w:lang w:eastAsia="zh-CN"/>
        </w:rPr>
        <w:t>三、判定规则</w:t>
      </w:r>
    </w:p>
    <w:p>
      <w:pPr>
        <w:keepNext w:val="0"/>
        <w:keepLines w:val="0"/>
        <w:pageBreakBefore w:val="0"/>
        <w:widowControl w:val="0"/>
        <w:kinsoku/>
        <w:wordWrap/>
        <w:overflowPunct/>
        <w:topLinePunct w:val="0"/>
        <w:autoSpaceDE/>
        <w:autoSpaceDN/>
        <w:bidi w:val="0"/>
        <w:spacing w:line="560" w:lineRule="exact"/>
        <w:ind w:firstLine="600" w:firstLineChars="200"/>
        <w:textAlignment w:val="auto"/>
        <w:rPr>
          <w:rFonts w:ascii="宋体" w:hAnsi="宋体"/>
          <w:b/>
          <w:sz w:val="30"/>
          <w:szCs w:val="30"/>
        </w:rPr>
      </w:pPr>
      <w:r>
        <w:rPr>
          <w:rFonts w:hint="eastAsia" w:ascii="Times New Roman" w:hAnsi="Times New Roman" w:eastAsia="楷体_GB2312"/>
          <w:sz w:val="30"/>
          <w:szCs w:val="30"/>
        </w:rPr>
        <w:t>（一）依据标准</w:t>
      </w:r>
    </w:p>
    <w:p>
      <w:pPr>
        <w:keepNext w:val="0"/>
        <w:keepLines w:val="0"/>
        <w:pageBreakBefore w:val="0"/>
        <w:widowControl w:val="0"/>
        <w:kinsoku/>
        <w:wordWrap/>
        <w:overflowPunct/>
        <w:topLinePunct w:val="0"/>
        <w:autoSpaceDE/>
        <w:autoSpaceDN/>
        <w:bidi w:val="0"/>
        <w:spacing w:line="560" w:lineRule="exact"/>
        <w:ind w:firstLine="606" w:firstLineChars="202"/>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GB/T 5023.1-2008 《额定电压450/750V及以下聚氯乙烯绝缘电缆 第1部分：一般要求》</w:t>
      </w:r>
    </w:p>
    <w:p>
      <w:pPr>
        <w:keepNext w:val="0"/>
        <w:keepLines w:val="0"/>
        <w:pageBreakBefore w:val="0"/>
        <w:widowControl w:val="0"/>
        <w:kinsoku/>
        <w:wordWrap/>
        <w:overflowPunct/>
        <w:topLinePunct w:val="0"/>
        <w:autoSpaceDE/>
        <w:autoSpaceDN/>
        <w:bidi w:val="0"/>
        <w:spacing w:line="560" w:lineRule="exact"/>
        <w:ind w:firstLine="606" w:firstLineChars="202"/>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GB/T 5023.2-2008 《额定电压450/750V及以下聚氯乙烯绝缘电缆 第2部分：试验方法》</w:t>
      </w:r>
    </w:p>
    <w:p>
      <w:pPr>
        <w:keepNext w:val="0"/>
        <w:keepLines w:val="0"/>
        <w:pageBreakBefore w:val="0"/>
        <w:widowControl w:val="0"/>
        <w:kinsoku/>
        <w:wordWrap/>
        <w:overflowPunct/>
        <w:topLinePunct w:val="0"/>
        <w:autoSpaceDE/>
        <w:autoSpaceDN/>
        <w:bidi w:val="0"/>
        <w:spacing w:line="560" w:lineRule="exact"/>
        <w:ind w:firstLine="606" w:firstLineChars="202"/>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GB/T 5023.3-2008 《额定电压450/750V及以下聚氯乙烯绝缘电缆 第3部分：固定布线用无护套电缆》</w:t>
      </w:r>
    </w:p>
    <w:p>
      <w:pPr>
        <w:keepNext w:val="0"/>
        <w:keepLines w:val="0"/>
        <w:pageBreakBefore w:val="0"/>
        <w:widowControl w:val="0"/>
        <w:kinsoku/>
        <w:wordWrap/>
        <w:overflowPunct/>
        <w:topLinePunct w:val="0"/>
        <w:autoSpaceDE/>
        <w:autoSpaceDN/>
        <w:bidi w:val="0"/>
        <w:spacing w:line="560" w:lineRule="exact"/>
        <w:ind w:firstLine="606" w:firstLineChars="202"/>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GB/T 5023.4-2008 《额定电压450/750V及以下聚氯乙烯绝缘电缆 第4部分：固定布线用护套电缆》</w:t>
      </w:r>
    </w:p>
    <w:p>
      <w:pPr>
        <w:keepNext w:val="0"/>
        <w:keepLines w:val="0"/>
        <w:pageBreakBefore w:val="0"/>
        <w:widowControl w:val="0"/>
        <w:kinsoku/>
        <w:wordWrap/>
        <w:overflowPunct/>
        <w:topLinePunct w:val="0"/>
        <w:autoSpaceDE/>
        <w:autoSpaceDN/>
        <w:bidi w:val="0"/>
        <w:spacing w:line="560" w:lineRule="exact"/>
        <w:ind w:firstLine="606" w:firstLineChars="202"/>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GB/T 5023.5-2008 《额定电压450/750V及以下聚氯乙烯绝缘电缆 第5部分：软电缆（软线）》</w:t>
      </w:r>
    </w:p>
    <w:p>
      <w:pPr>
        <w:keepNext w:val="0"/>
        <w:keepLines w:val="0"/>
        <w:pageBreakBefore w:val="0"/>
        <w:widowControl w:val="0"/>
        <w:kinsoku/>
        <w:wordWrap/>
        <w:overflowPunct/>
        <w:topLinePunct w:val="0"/>
        <w:autoSpaceDE/>
        <w:autoSpaceDN/>
        <w:bidi w:val="0"/>
        <w:spacing w:line="560" w:lineRule="exact"/>
        <w:ind w:firstLine="606" w:firstLineChars="202"/>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JB/T 8734.1-2016《额定电压450/750V 及以下聚氯乙烯绝缘电缆电线和软线 第1部分：一般规定》</w:t>
      </w:r>
    </w:p>
    <w:p>
      <w:pPr>
        <w:keepNext w:val="0"/>
        <w:keepLines w:val="0"/>
        <w:pageBreakBefore w:val="0"/>
        <w:widowControl w:val="0"/>
        <w:kinsoku/>
        <w:wordWrap/>
        <w:overflowPunct/>
        <w:topLinePunct w:val="0"/>
        <w:autoSpaceDE/>
        <w:autoSpaceDN/>
        <w:bidi w:val="0"/>
        <w:spacing w:line="560" w:lineRule="exact"/>
        <w:ind w:firstLine="606" w:firstLineChars="202"/>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JB/T 8734.2-2016《额定电压450/750V 及以下聚氯乙烯绝缘电缆电线和软线 第2部分:固定布线用电缆电线》</w:t>
      </w:r>
    </w:p>
    <w:p>
      <w:pPr>
        <w:keepNext w:val="0"/>
        <w:keepLines w:val="0"/>
        <w:pageBreakBefore w:val="0"/>
        <w:widowControl w:val="0"/>
        <w:kinsoku/>
        <w:wordWrap/>
        <w:overflowPunct/>
        <w:topLinePunct w:val="0"/>
        <w:autoSpaceDE/>
        <w:autoSpaceDN/>
        <w:bidi w:val="0"/>
        <w:spacing w:line="560" w:lineRule="exact"/>
        <w:ind w:firstLine="606" w:firstLineChars="202"/>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JB/T 8734.3-2016《额定电压450/750V 及以下聚氯乙烯绝缘电缆电线和软线 第3部分:连接用软电线和软电缆》</w:t>
      </w:r>
    </w:p>
    <w:p>
      <w:pPr>
        <w:keepNext w:val="0"/>
        <w:keepLines w:val="0"/>
        <w:pageBreakBefore w:val="0"/>
        <w:widowControl w:val="0"/>
        <w:kinsoku/>
        <w:wordWrap/>
        <w:overflowPunct/>
        <w:topLinePunct w:val="0"/>
        <w:autoSpaceDE/>
        <w:autoSpaceDN/>
        <w:bidi w:val="0"/>
        <w:spacing w:line="560" w:lineRule="exact"/>
        <w:ind w:firstLine="606" w:firstLineChars="202"/>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JB/T 8734.4-2016《额定电压450/750V 及以下聚氯乙烯绝缘电缆电线和软线 第4部分:安装用电线》</w:t>
      </w:r>
    </w:p>
    <w:p>
      <w:pPr>
        <w:keepNext w:val="0"/>
        <w:keepLines w:val="0"/>
        <w:pageBreakBefore w:val="0"/>
        <w:widowControl w:val="0"/>
        <w:kinsoku/>
        <w:wordWrap/>
        <w:overflowPunct/>
        <w:topLinePunct w:val="0"/>
        <w:autoSpaceDE/>
        <w:autoSpaceDN/>
        <w:bidi w:val="0"/>
        <w:spacing w:line="560" w:lineRule="exact"/>
        <w:ind w:firstLine="606" w:firstLineChars="202"/>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JB/T 8734.5-2016《额定电压450/750V 及以下聚氯乙烯绝缘电缆电线和软线 第5部分:屏蔽电线》</w:t>
      </w:r>
    </w:p>
    <w:p>
      <w:pPr>
        <w:keepNext w:val="0"/>
        <w:keepLines w:val="0"/>
        <w:pageBreakBefore w:val="0"/>
        <w:widowControl w:val="0"/>
        <w:kinsoku/>
        <w:wordWrap/>
        <w:overflowPunct/>
        <w:topLinePunct w:val="0"/>
        <w:autoSpaceDE/>
        <w:autoSpaceDN/>
        <w:bidi w:val="0"/>
        <w:spacing w:line="560" w:lineRule="exact"/>
        <w:ind w:firstLine="606" w:firstLineChars="202"/>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相关的法律、行政法规、部门规章、规范性文件</w:t>
      </w:r>
    </w:p>
    <w:p>
      <w:pPr>
        <w:keepNext w:val="0"/>
        <w:keepLines w:val="0"/>
        <w:pageBreakBefore w:val="0"/>
        <w:widowControl w:val="0"/>
        <w:kinsoku/>
        <w:wordWrap/>
        <w:overflowPunct/>
        <w:topLinePunct w:val="0"/>
        <w:autoSpaceDE/>
        <w:autoSpaceDN/>
        <w:bidi w:val="0"/>
        <w:spacing w:line="560" w:lineRule="exact"/>
        <w:ind w:firstLine="606" w:firstLineChars="202"/>
        <w:textAlignment w:val="auto"/>
        <w:rPr>
          <w:rFonts w:ascii="宋体" w:hAnsi="宋体"/>
          <w:sz w:val="30"/>
          <w:szCs w:val="30"/>
        </w:rPr>
      </w:pPr>
      <w:r>
        <w:rPr>
          <w:rFonts w:hint="eastAsia" w:ascii="仿宋_GB2312" w:hAnsi="仿宋_GB2312" w:eastAsia="仿宋_GB2312" w:cs="仿宋_GB2312"/>
          <w:sz w:val="30"/>
          <w:szCs w:val="30"/>
        </w:rPr>
        <w:t>现行有效的企业标准、团体标准、地方标准及产品明示质量要求</w:t>
      </w:r>
    </w:p>
    <w:p>
      <w:pPr>
        <w:pStyle w:val="19"/>
        <w:keepNext w:val="0"/>
        <w:keepLines w:val="0"/>
        <w:pageBreakBefore w:val="0"/>
        <w:tabs>
          <w:tab w:val="clear" w:pos="4201"/>
          <w:tab w:val="clear" w:pos="9298"/>
        </w:tabs>
        <w:kinsoku/>
        <w:wordWrap/>
        <w:overflowPunct/>
        <w:topLinePunct w:val="0"/>
        <w:bidi w:val="0"/>
        <w:adjustRightInd/>
        <w:spacing w:line="560" w:lineRule="exact"/>
        <w:ind w:firstLine="600"/>
        <w:textAlignment w:val="auto"/>
        <w:rPr>
          <w:rFonts w:ascii="宋体" w:hAnsi="宋体"/>
          <w:b/>
          <w:sz w:val="30"/>
          <w:szCs w:val="30"/>
        </w:rPr>
      </w:pPr>
      <w:r>
        <w:rPr>
          <w:rFonts w:ascii="Times New Roman" w:hAnsi="Times New Roman" w:eastAsia="楷体_GB2312"/>
          <w:sz w:val="30"/>
          <w:szCs w:val="30"/>
        </w:rPr>
        <w:t>（二）判定原则</w:t>
      </w:r>
    </w:p>
    <w:p>
      <w:pPr>
        <w:keepNext w:val="0"/>
        <w:keepLines w:val="0"/>
        <w:pageBreakBefore w:val="0"/>
        <w:widowControl w:val="0"/>
        <w:kinsoku/>
        <w:wordWrap/>
        <w:overflowPunct/>
        <w:topLinePunct w:val="0"/>
        <w:autoSpaceDE/>
        <w:autoSpaceDN/>
        <w:bidi w:val="0"/>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经检验，检验项目全部合格，判定为被抽查产品合格；检验项目中任一项或一项以上不合格，判定为被抽查产品不合格。</w:t>
      </w:r>
    </w:p>
    <w:p>
      <w:pPr>
        <w:keepNext w:val="0"/>
        <w:keepLines w:val="0"/>
        <w:pageBreakBefore w:val="0"/>
        <w:widowControl w:val="0"/>
        <w:kinsoku/>
        <w:wordWrap/>
        <w:overflowPunct/>
        <w:topLinePunct w:val="0"/>
        <w:autoSpaceDE/>
        <w:autoSpaceDN/>
        <w:bidi w:val="0"/>
        <w:spacing w:line="560" w:lineRule="exact"/>
        <w:ind w:firstLine="597" w:firstLineChars="199"/>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若被检产品明示的质量要求高于本细则中检验项目依据的标准要求时，应按被检产品明示的质量要求判定。</w:t>
      </w:r>
    </w:p>
    <w:p>
      <w:pPr>
        <w:keepNext w:val="0"/>
        <w:keepLines w:val="0"/>
        <w:pageBreakBefore w:val="0"/>
        <w:widowControl w:val="0"/>
        <w:kinsoku/>
        <w:wordWrap/>
        <w:overflowPunct/>
        <w:topLinePunct w:val="0"/>
        <w:autoSpaceDE/>
        <w:autoSpaceDN/>
        <w:bidi w:val="0"/>
        <w:spacing w:line="560" w:lineRule="exact"/>
        <w:ind w:firstLine="597" w:firstLineChars="199"/>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若被检产品明示的质量要求低于本细则中检验项目依据的强制性标准要求时，应按照强制性标准要求判定。</w:t>
      </w:r>
    </w:p>
    <w:p>
      <w:pPr>
        <w:keepNext w:val="0"/>
        <w:keepLines w:val="0"/>
        <w:pageBreakBefore w:val="0"/>
        <w:widowControl w:val="0"/>
        <w:kinsoku/>
        <w:wordWrap/>
        <w:overflowPunct/>
        <w:topLinePunct w:val="0"/>
        <w:autoSpaceDE/>
        <w:autoSpaceDN/>
        <w:bidi w:val="0"/>
        <w:spacing w:line="560" w:lineRule="exact"/>
        <w:ind w:firstLine="597" w:firstLineChars="199"/>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若被检产品明示的质量要求低于或包含本细则中检验项目依据的推荐性标准要求时，应以被检产品明示的质量要求判定。</w:t>
      </w:r>
    </w:p>
    <w:p>
      <w:pPr>
        <w:keepNext w:val="0"/>
        <w:keepLines w:val="0"/>
        <w:pageBreakBefore w:val="0"/>
        <w:widowControl w:val="0"/>
        <w:kinsoku/>
        <w:wordWrap/>
        <w:overflowPunct/>
        <w:topLinePunct w:val="0"/>
        <w:autoSpaceDE/>
        <w:autoSpaceDN/>
        <w:bidi w:val="0"/>
        <w:spacing w:line="560" w:lineRule="exact"/>
        <w:ind w:firstLine="597" w:firstLineChars="199"/>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若被检产品明示的质量要求缺少本细则中检验项目依据的强制性标准要求时，应按照强制性标准要求判定。</w:t>
      </w:r>
    </w:p>
    <w:p>
      <w:pPr>
        <w:keepNext w:val="0"/>
        <w:keepLines w:val="0"/>
        <w:pageBreakBefore w:val="0"/>
        <w:widowControl w:val="0"/>
        <w:kinsoku/>
        <w:wordWrap/>
        <w:overflowPunct/>
        <w:topLinePunct w:val="0"/>
        <w:autoSpaceDE/>
        <w:autoSpaceDN/>
        <w:bidi w:val="0"/>
        <w:spacing w:line="560" w:lineRule="exact"/>
        <w:ind w:firstLine="597" w:firstLineChars="199"/>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若被检产品明示的质量要求缺少本细则中检验项目依据的推荐性标准要求时，该项目不参与判定。</w:t>
      </w:r>
    </w:p>
    <w:sectPr>
      <w:footerReference r:id="rId3" w:type="default"/>
      <w:pgSz w:w="11906" w:h="16838"/>
      <w:pgMar w:top="2098" w:right="1361"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roma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65571941"/>
      <w:docPartObj>
        <w:docPartGallery w:val="autotext"/>
      </w:docPartObj>
    </w:sdtPr>
    <w:sdtContent>
      <w:p>
        <w:pPr>
          <w:pStyle w:val="5"/>
          <w:jc w:val="center"/>
        </w:pPr>
        <w:r>
          <w:fldChar w:fldCharType="begin"/>
        </w:r>
        <w:r>
          <w:instrText xml:space="preserve">PAGE   \* MERGEFORMAT</w:instrText>
        </w:r>
        <w:r>
          <w:fldChar w:fldCharType="separate"/>
        </w:r>
        <w:r>
          <w:rPr>
            <w:lang w:val="zh-CN"/>
          </w:rPr>
          <w:t>1</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69B6"/>
    <w:rsid w:val="00025873"/>
    <w:rsid w:val="00040316"/>
    <w:rsid w:val="0005327A"/>
    <w:rsid w:val="00096D88"/>
    <w:rsid w:val="000D3BA1"/>
    <w:rsid w:val="000E0F84"/>
    <w:rsid w:val="000E5DA4"/>
    <w:rsid w:val="00101009"/>
    <w:rsid w:val="00113E20"/>
    <w:rsid w:val="00191D53"/>
    <w:rsid w:val="001A66E7"/>
    <w:rsid w:val="002117D0"/>
    <w:rsid w:val="002335FA"/>
    <w:rsid w:val="002622C4"/>
    <w:rsid w:val="00274ED1"/>
    <w:rsid w:val="00290247"/>
    <w:rsid w:val="0029065C"/>
    <w:rsid w:val="002936D3"/>
    <w:rsid w:val="002C68D2"/>
    <w:rsid w:val="002D339D"/>
    <w:rsid w:val="002D5219"/>
    <w:rsid w:val="002D7236"/>
    <w:rsid w:val="002E3F7D"/>
    <w:rsid w:val="00317C22"/>
    <w:rsid w:val="003346A0"/>
    <w:rsid w:val="00356A5C"/>
    <w:rsid w:val="003609D8"/>
    <w:rsid w:val="00366104"/>
    <w:rsid w:val="003826AD"/>
    <w:rsid w:val="00393717"/>
    <w:rsid w:val="00396A77"/>
    <w:rsid w:val="003A07C9"/>
    <w:rsid w:val="003A37B1"/>
    <w:rsid w:val="004374CD"/>
    <w:rsid w:val="00450891"/>
    <w:rsid w:val="00455C69"/>
    <w:rsid w:val="004569B6"/>
    <w:rsid w:val="0046087D"/>
    <w:rsid w:val="0046240B"/>
    <w:rsid w:val="00466C7C"/>
    <w:rsid w:val="00470C10"/>
    <w:rsid w:val="00490A2B"/>
    <w:rsid w:val="004B4CE5"/>
    <w:rsid w:val="004E1E71"/>
    <w:rsid w:val="004F5FAB"/>
    <w:rsid w:val="00503ABA"/>
    <w:rsid w:val="00505AC7"/>
    <w:rsid w:val="00512689"/>
    <w:rsid w:val="005211EB"/>
    <w:rsid w:val="00544C0B"/>
    <w:rsid w:val="005721DF"/>
    <w:rsid w:val="00584099"/>
    <w:rsid w:val="00592388"/>
    <w:rsid w:val="005A1D1E"/>
    <w:rsid w:val="005A2EF3"/>
    <w:rsid w:val="005B4F45"/>
    <w:rsid w:val="005D6559"/>
    <w:rsid w:val="00602BED"/>
    <w:rsid w:val="00611A94"/>
    <w:rsid w:val="006657AE"/>
    <w:rsid w:val="006666A4"/>
    <w:rsid w:val="0068176C"/>
    <w:rsid w:val="006A7D48"/>
    <w:rsid w:val="006B0640"/>
    <w:rsid w:val="006C47ED"/>
    <w:rsid w:val="006C5F7F"/>
    <w:rsid w:val="006E5173"/>
    <w:rsid w:val="006E5BFC"/>
    <w:rsid w:val="006F54DC"/>
    <w:rsid w:val="00712301"/>
    <w:rsid w:val="0072167F"/>
    <w:rsid w:val="007E267A"/>
    <w:rsid w:val="007F78A9"/>
    <w:rsid w:val="00806A1D"/>
    <w:rsid w:val="00892153"/>
    <w:rsid w:val="008A5F51"/>
    <w:rsid w:val="008B6D04"/>
    <w:rsid w:val="008E454B"/>
    <w:rsid w:val="008E6EDA"/>
    <w:rsid w:val="008E7595"/>
    <w:rsid w:val="00911F00"/>
    <w:rsid w:val="00947B42"/>
    <w:rsid w:val="00955A73"/>
    <w:rsid w:val="00993036"/>
    <w:rsid w:val="009A4B38"/>
    <w:rsid w:val="009C1019"/>
    <w:rsid w:val="009C4079"/>
    <w:rsid w:val="009D6CA1"/>
    <w:rsid w:val="009D715A"/>
    <w:rsid w:val="009F698B"/>
    <w:rsid w:val="00A00857"/>
    <w:rsid w:val="00A00C24"/>
    <w:rsid w:val="00A03FA3"/>
    <w:rsid w:val="00A25C05"/>
    <w:rsid w:val="00A57CE2"/>
    <w:rsid w:val="00A73E47"/>
    <w:rsid w:val="00A80F06"/>
    <w:rsid w:val="00AB4E12"/>
    <w:rsid w:val="00AC665B"/>
    <w:rsid w:val="00AE3899"/>
    <w:rsid w:val="00AF778D"/>
    <w:rsid w:val="00B510B3"/>
    <w:rsid w:val="00B5447E"/>
    <w:rsid w:val="00BB0FF8"/>
    <w:rsid w:val="00BD15CE"/>
    <w:rsid w:val="00C16AFD"/>
    <w:rsid w:val="00C16B25"/>
    <w:rsid w:val="00C22EA8"/>
    <w:rsid w:val="00C40BD2"/>
    <w:rsid w:val="00C51C4F"/>
    <w:rsid w:val="00C811CC"/>
    <w:rsid w:val="00C93F2D"/>
    <w:rsid w:val="00CC17FA"/>
    <w:rsid w:val="00CE064B"/>
    <w:rsid w:val="00CE3EFB"/>
    <w:rsid w:val="00CF7E8D"/>
    <w:rsid w:val="00D05C9B"/>
    <w:rsid w:val="00D1587E"/>
    <w:rsid w:val="00D27CDD"/>
    <w:rsid w:val="00D377C1"/>
    <w:rsid w:val="00D56C67"/>
    <w:rsid w:val="00D76127"/>
    <w:rsid w:val="00D85048"/>
    <w:rsid w:val="00DB34BD"/>
    <w:rsid w:val="00DB4E0F"/>
    <w:rsid w:val="00DC2876"/>
    <w:rsid w:val="00E03428"/>
    <w:rsid w:val="00E107CD"/>
    <w:rsid w:val="00E275D7"/>
    <w:rsid w:val="00E32226"/>
    <w:rsid w:val="00E35778"/>
    <w:rsid w:val="00E36C9E"/>
    <w:rsid w:val="00E44FF0"/>
    <w:rsid w:val="00E50FA1"/>
    <w:rsid w:val="00E5208B"/>
    <w:rsid w:val="00E55725"/>
    <w:rsid w:val="00E5792F"/>
    <w:rsid w:val="00E72B1A"/>
    <w:rsid w:val="00E7385A"/>
    <w:rsid w:val="00E73E33"/>
    <w:rsid w:val="00E74A41"/>
    <w:rsid w:val="00E77DB2"/>
    <w:rsid w:val="00E81DD3"/>
    <w:rsid w:val="00E83902"/>
    <w:rsid w:val="00E90A5E"/>
    <w:rsid w:val="00EA3C74"/>
    <w:rsid w:val="00EA4047"/>
    <w:rsid w:val="00EC405A"/>
    <w:rsid w:val="00ED4619"/>
    <w:rsid w:val="00F475E2"/>
    <w:rsid w:val="00F55164"/>
    <w:rsid w:val="00F65E1E"/>
    <w:rsid w:val="00F97415"/>
    <w:rsid w:val="00FC37AB"/>
    <w:rsid w:val="0B2B7C21"/>
    <w:rsid w:val="1B5242E2"/>
    <w:rsid w:val="23959EE9"/>
    <w:rsid w:val="2D4D3C68"/>
    <w:rsid w:val="45437FEF"/>
    <w:rsid w:val="47042286"/>
    <w:rsid w:val="4A925E05"/>
    <w:rsid w:val="604D0EF6"/>
    <w:rsid w:val="6D593B5C"/>
    <w:rsid w:val="6FBBAB00"/>
    <w:rsid w:val="70A46256"/>
    <w:rsid w:val="77C72F79"/>
    <w:rsid w:val="7BD554B4"/>
    <w:rsid w:val="FBFE7E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qFormat/>
    <w:uiPriority w:val="0"/>
    <w:pPr>
      <w:jc w:val="left"/>
    </w:pPr>
  </w:style>
  <w:style w:type="paragraph" w:styleId="3">
    <w:name w:val="Plain Text"/>
    <w:basedOn w:val="1"/>
    <w:link w:val="17"/>
    <w:unhideWhenUsed/>
    <w:qFormat/>
    <w:uiPriority w:val="99"/>
    <w:rPr>
      <w:rFonts w:ascii="宋体" w:hAnsi="Courier New"/>
      <w:sz w:val="32"/>
      <w:szCs w:val="21"/>
    </w:rPr>
  </w:style>
  <w:style w:type="paragraph" w:styleId="4">
    <w:name w:val="Balloon Text"/>
    <w:basedOn w:val="1"/>
    <w:link w:val="14"/>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unhideWhenUsed/>
    <w:qFormat/>
    <w:uiPriority w:val="99"/>
    <w:rPr>
      <w:color w:val="0000FF" w:themeColor="hyperlink"/>
      <w:u w:val="single"/>
      <w14:textFill>
        <w14:solidFill>
          <w14:schemeClr w14:val="hlink"/>
        </w14:solidFill>
      </w14:textFill>
    </w:rPr>
  </w:style>
  <w:style w:type="character" w:styleId="11">
    <w:name w:val="annotation reference"/>
    <w:qFormat/>
    <w:uiPriority w:val="0"/>
    <w:rPr>
      <w:sz w:val="21"/>
      <w:szCs w:val="21"/>
    </w:rPr>
  </w:style>
  <w:style w:type="paragraph" w:customStyle="1" w:styleId="12">
    <w:name w:val="列出段落1"/>
    <w:basedOn w:val="1"/>
    <w:qFormat/>
    <w:uiPriority w:val="34"/>
    <w:pPr>
      <w:ind w:firstLine="420" w:firstLineChars="200"/>
    </w:pPr>
  </w:style>
  <w:style w:type="character" w:customStyle="1" w:styleId="13">
    <w:name w:val="批注文字 Char"/>
    <w:basedOn w:val="9"/>
    <w:link w:val="2"/>
    <w:qFormat/>
    <w:uiPriority w:val="0"/>
    <w:rPr>
      <w:rFonts w:ascii="Times New Roman" w:hAnsi="Times New Roman" w:eastAsia="宋体" w:cs="Times New Roman"/>
      <w:szCs w:val="24"/>
    </w:rPr>
  </w:style>
  <w:style w:type="character" w:customStyle="1" w:styleId="14">
    <w:name w:val="批注框文本 Char"/>
    <w:basedOn w:val="9"/>
    <w:link w:val="4"/>
    <w:semiHidden/>
    <w:qFormat/>
    <w:uiPriority w:val="99"/>
    <w:rPr>
      <w:rFonts w:ascii="Times New Roman" w:hAnsi="Times New Roman" w:eastAsia="宋体" w:cs="Times New Roman"/>
      <w:sz w:val="18"/>
      <w:szCs w:val="18"/>
    </w:rPr>
  </w:style>
  <w:style w:type="character" w:customStyle="1" w:styleId="15">
    <w:name w:val="页眉 Char"/>
    <w:basedOn w:val="9"/>
    <w:link w:val="6"/>
    <w:semiHidden/>
    <w:qFormat/>
    <w:uiPriority w:val="99"/>
    <w:rPr>
      <w:rFonts w:ascii="Times New Roman" w:hAnsi="Times New Roman" w:eastAsia="宋体" w:cs="Times New Roman"/>
      <w:sz w:val="18"/>
      <w:szCs w:val="18"/>
    </w:rPr>
  </w:style>
  <w:style w:type="character" w:customStyle="1" w:styleId="16">
    <w:name w:val="页脚 Char"/>
    <w:basedOn w:val="9"/>
    <w:link w:val="5"/>
    <w:qFormat/>
    <w:uiPriority w:val="99"/>
    <w:rPr>
      <w:rFonts w:ascii="Times New Roman" w:hAnsi="Times New Roman" w:eastAsia="宋体" w:cs="Times New Roman"/>
      <w:sz w:val="18"/>
      <w:szCs w:val="18"/>
    </w:rPr>
  </w:style>
  <w:style w:type="character" w:customStyle="1" w:styleId="17">
    <w:name w:val="纯文本 Char"/>
    <w:basedOn w:val="9"/>
    <w:link w:val="3"/>
    <w:qFormat/>
    <w:uiPriority w:val="99"/>
    <w:rPr>
      <w:rFonts w:ascii="宋体" w:hAnsi="Courier New"/>
      <w:kern w:val="2"/>
      <w:sz w:val="32"/>
      <w:szCs w:val="21"/>
    </w:rPr>
  </w:style>
  <w:style w:type="paragraph" w:customStyle="1" w:styleId="18">
    <w:name w:val="Table Paragraph"/>
    <w:basedOn w:val="1"/>
    <w:qFormat/>
    <w:uiPriority w:val="99"/>
    <w:rPr>
      <w:rFonts w:eastAsia="仿宋_GB2312"/>
      <w:sz w:val="32"/>
    </w:rPr>
  </w:style>
  <w:style w:type="paragraph" w:customStyle="1" w:styleId="19">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224</Words>
  <Characters>1281</Characters>
  <Lines>10</Lines>
  <Paragraphs>3</Paragraphs>
  <TotalTime>1</TotalTime>
  <ScaleCrop>false</ScaleCrop>
  <LinksUpToDate>false</LinksUpToDate>
  <CharactersWithSpaces>1502</CharactersWithSpaces>
  <Application>WPS Office_11.8.2.10533_F1E327BC-269C-435d-A152-05C5408002CA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2024-05-22T17:02:00Z</dcterms:created>
  <dc:creator>微软用户</dc:creator>
  <cp:lastModifiedBy>传入的名字</cp:lastModifiedBy>
  <dcterms:modified xsi:type="dcterms:W3CDTF">2025-11-13T09:31:15Z</dcterms:modified>
  <dc:title>附件7：</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2052-11.8.2.10533</vt:lpwstr>
  </property>
  <property fmtid="{D5CDD505-2E9C-101B-9397-08002B2CF9AE}" pid="3" name="ICV">
    <vt:lpwstr>5E51C419748B438A81FD0C0311E09718</vt:lpwstr>
  </property>
</Properties>
</file>