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99F14F">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r>
        <w:rPr>
          <w:rFonts w:hint="default" w:ascii="Times New Roman" w:hAnsi="Times New Roman" w:eastAsia="黑体" w:cs="Times New Roman"/>
          <w:bCs/>
          <w:color w:val="auto"/>
          <w:spacing w:val="-6"/>
          <w:sz w:val="32"/>
          <w:szCs w:val="32"/>
        </w:rPr>
        <w:t>附件</w:t>
      </w:r>
      <w:r>
        <w:rPr>
          <w:rFonts w:hint="default" w:ascii="Times New Roman" w:hAnsi="Times New Roman" w:eastAsia="黑体" w:cs="Times New Roman"/>
          <w:bCs/>
          <w:color w:val="auto"/>
          <w:spacing w:val="-6"/>
          <w:sz w:val="32"/>
          <w:szCs w:val="32"/>
          <w:lang w:val="en-US" w:eastAsia="zh-CN"/>
        </w:rPr>
        <w:t>1</w:t>
      </w:r>
    </w:p>
    <w:p w14:paraId="0036C53B">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auto"/>
          <w:spacing w:val="-6"/>
          <w:position w:val="1"/>
          <w:sz w:val="32"/>
          <w:szCs w:val="32"/>
        </w:rPr>
      </w:pPr>
    </w:p>
    <w:p w14:paraId="0D95D5C0">
      <w:pPr>
        <w:keepNext w:val="0"/>
        <w:keepLines w:val="0"/>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广东省铝塑复合板产品质量监督抽查实施细则</w:t>
      </w:r>
    </w:p>
    <w:p w14:paraId="40EA2962">
      <w:pPr>
        <w:bidi w:val="0"/>
        <w:adjustRightInd/>
        <w:snapToGrid/>
        <w:spacing w:line="560" w:lineRule="exact"/>
        <w:jc w:val="center"/>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（2024年版）</w:t>
      </w:r>
    </w:p>
    <w:p w14:paraId="3EE1857C">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p>
    <w:p w14:paraId="744ED851">
      <w:pPr>
        <w:keepNext w:val="0"/>
        <w:keepLines w:val="0"/>
        <w:pageBreakBefore w:val="0"/>
        <w:widowControl w:val="0"/>
        <w:kinsoku/>
        <w:wordWrap/>
        <w:overflowPunct/>
        <w:topLinePunct w:val="0"/>
        <w:bidi w:val="0"/>
        <w:adjustRightInd/>
        <w:snapToGrid/>
        <w:spacing w:line="560" w:lineRule="exact"/>
        <w:ind w:firstLine="632"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抽样方法</w:t>
      </w:r>
    </w:p>
    <w:p w14:paraId="383FBF4B">
      <w:pPr>
        <w:keepNext w:val="0"/>
        <w:keepLines w:val="0"/>
        <w:pageBreakBefore w:val="0"/>
        <w:widowControl/>
        <w:kinsoku/>
        <w:wordWrap/>
        <w:overflowPunct/>
        <w:topLinePunct w:val="0"/>
        <w:bidi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以随机抽样的方式在被抽查</w:t>
      </w:r>
      <w:r>
        <w:rPr>
          <w:rFonts w:hint="default" w:ascii="Times New Roman" w:hAnsi="Times New Roman" w:eastAsia="仿宋_GB2312" w:cs="Times New Roman"/>
          <w:kern w:val="0"/>
          <w:sz w:val="32"/>
          <w:szCs w:val="32"/>
          <w:lang w:eastAsia="zh-CN"/>
        </w:rPr>
        <w:t>经营</w:t>
      </w:r>
      <w:r>
        <w:rPr>
          <w:rFonts w:hint="default" w:ascii="Times New Roman" w:hAnsi="Times New Roman" w:eastAsia="仿宋_GB2312" w:cs="Times New Roman"/>
          <w:kern w:val="0"/>
          <w:sz w:val="32"/>
          <w:szCs w:val="32"/>
        </w:rPr>
        <w:t>主体的待销产品中抽取。</w:t>
      </w:r>
    </w:p>
    <w:p w14:paraId="242E1CBE">
      <w:pPr>
        <w:keepNext w:val="0"/>
        <w:keepLines w:val="0"/>
        <w:pageBreakBefore w:val="0"/>
        <w:kinsoku/>
        <w:wordWrap/>
        <w:overflowPunct/>
        <w:topLinePunct w:val="0"/>
        <w:bidi w:val="0"/>
        <w:snapToGrid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随机数一般可使用随机数表等方法产生。</w:t>
      </w:r>
    </w:p>
    <w:p w14:paraId="1C6C02AF">
      <w:pPr>
        <w:keepNext w:val="0"/>
        <w:keepLines w:val="0"/>
        <w:pageBreakBefore w:val="0"/>
        <w:kinsoku/>
        <w:wordWrap/>
        <w:overflowPunct/>
        <w:topLinePunct w:val="0"/>
        <w:bidi w:val="0"/>
        <w:snapToGrid w:val="0"/>
        <w:spacing w:line="560" w:lineRule="exact"/>
        <w:ind w:firstLine="608" w:firstLineChars="200"/>
        <w:textAlignment w:val="auto"/>
        <w:rPr>
          <w:rFonts w:hint="default" w:ascii="Times New Roman" w:hAnsi="Times New Roman" w:eastAsia="仿宋_GB2312" w:cs="Times New Roman"/>
          <w:color w:val="000000"/>
          <w:spacing w:val="-6"/>
          <w:sz w:val="32"/>
          <w:szCs w:val="32"/>
        </w:rPr>
      </w:pPr>
      <w:r>
        <w:rPr>
          <w:rFonts w:hint="default" w:ascii="Times New Roman" w:hAnsi="Times New Roman" w:eastAsia="仿宋_GB2312" w:cs="Times New Roman"/>
          <w:color w:val="000000"/>
          <w:spacing w:val="-6"/>
          <w:sz w:val="32"/>
          <w:szCs w:val="32"/>
        </w:rPr>
        <w:t>抽取同一批样品3张，将每张样品平均裁开4块，并分别编为1a-1、1a-2、1b-1、1b-2；2a-1、2a-2、2b-1、2b-2；3a-1、3a-2、3b-1、3b-</w:t>
      </w:r>
      <w:r>
        <w:rPr>
          <w:rFonts w:hint="default" w:ascii="Times New Roman" w:hAnsi="Times New Roman" w:eastAsia="仿宋_GB2312" w:cs="Times New Roman"/>
          <w:color w:val="000000"/>
          <w:spacing w:val="-6"/>
          <w:sz w:val="32"/>
          <w:szCs w:val="32"/>
          <w:lang w:val="en-US" w:eastAsia="zh-CN"/>
        </w:rPr>
        <w:t>2</w:t>
      </w:r>
      <w:r>
        <w:rPr>
          <w:rFonts w:hint="default" w:ascii="Times New Roman" w:hAnsi="Times New Roman" w:eastAsia="仿宋_GB2312" w:cs="Times New Roman"/>
          <w:color w:val="000000"/>
          <w:spacing w:val="-6"/>
          <w:sz w:val="32"/>
          <w:szCs w:val="32"/>
        </w:rPr>
        <w:t>号，其中a号样品签封标明为检验样品，b号样品签封标明为备用样品。</w:t>
      </w:r>
    </w:p>
    <w:p w14:paraId="0BA39A18">
      <w:pPr>
        <w:keepNext w:val="0"/>
        <w:keepLines w:val="0"/>
        <w:pageBreakBefore w:val="0"/>
        <w:kinsoku/>
        <w:wordWrap/>
        <w:overflowPunct/>
        <w:topLinePunct w:val="0"/>
        <w:bidi w:val="0"/>
        <w:snapToGrid w:val="0"/>
        <w:spacing w:line="560" w:lineRule="exact"/>
        <w:ind w:firstLine="608" w:firstLineChars="200"/>
        <w:textAlignment w:val="auto"/>
        <w:rPr>
          <w:rFonts w:hint="default" w:ascii="Times New Roman" w:hAnsi="Times New Roman" w:eastAsia="仿宋_GB2312" w:cs="Times New Roman"/>
          <w:color w:val="000000"/>
          <w:spacing w:val="-6"/>
          <w:sz w:val="32"/>
          <w:szCs w:val="32"/>
          <w:lang w:val="en-US" w:eastAsia="zh-CN"/>
        </w:rPr>
      </w:pPr>
      <w:r>
        <w:rPr>
          <w:rFonts w:hint="default" w:ascii="Times New Roman" w:hAnsi="Times New Roman" w:eastAsia="仿宋_GB2312" w:cs="Times New Roman"/>
          <w:color w:val="000000"/>
          <w:spacing w:val="-6"/>
          <w:sz w:val="32"/>
          <w:szCs w:val="32"/>
        </w:rPr>
        <w:t>注：抽样人员填写抽查单时要注明产品型号规格（长×宽×厚）、铝材公称厚度。建筑幕墙用铝塑复合板确认涂层为几涂（二涂还是三涂）</w:t>
      </w:r>
      <w:r>
        <w:rPr>
          <w:rFonts w:hint="default" w:ascii="Times New Roman" w:hAnsi="Times New Roman" w:eastAsia="仿宋_GB2312" w:cs="Times New Roman"/>
          <w:color w:val="000000"/>
          <w:spacing w:val="-6"/>
          <w:sz w:val="32"/>
          <w:szCs w:val="32"/>
          <w:lang w:eastAsia="zh-CN"/>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059"/>
        <w:gridCol w:w="2059"/>
        <w:gridCol w:w="2059"/>
        <w:gridCol w:w="2060"/>
      </w:tblGrid>
      <w:tr w14:paraId="292C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2" w:type="dxa"/>
            <w:tcBorders>
              <w:top w:val="single" w:color="auto" w:sz="4" w:space="0"/>
              <w:left w:val="single" w:color="auto" w:sz="4" w:space="0"/>
              <w:bottom w:val="single" w:color="auto" w:sz="4" w:space="0"/>
              <w:right w:val="single" w:color="auto" w:sz="4" w:space="0"/>
            </w:tcBorders>
            <w:noWrap/>
            <w:vAlign w:val="center"/>
          </w:tcPr>
          <w:p w14:paraId="254C39DD">
            <w:pPr>
              <w:adjustRightInd w:val="0"/>
              <w:snapToGrid w:val="0"/>
              <w:spacing w:line="40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序号</w:t>
            </w:r>
          </w:p>
        </w:tc>
        <w:tc>
          <w:tcPr>
            <w:tcW w:w="2059" w:type="dxa"/>
            <w:tcBorders>
              <w:top w:val="single" w:color="auto" w:sz="4" w:space="0"/>
              <w:left w:val="single" w:color="auto" w:sz="4" w:space="0"/>
              <w:bottom w:val="single" w:color="auto" w:sz="4" w:space="0"/>
              <w:right w:val="single" w:color="auto" w:sz="4" w:space="0"/>
            </w:tcBorders>
            <w:noWrap/>
            <w:vAlign w:val="center"/>
          </w:tcPr>
          <w:p w14:paraId="1FA493FD">
            <w:pPr>
              <w:adjustRightInd w:val="0"/>
              <w:snapToGrid w:val="0"/>
              <w:spacing w:line="40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产品类别</w:t>
            </w:r>
          </w:p>
        </w:tc>
        <w:tc>
          <w:tcPr>
            <w:tcW w:w="2059" w:type="dxa"/>
            <w:tcBorders>
              <w:top w:val="single" w:color="auto" w:sz="4" w:space="0"/>
              <w:left w:val="single" w:color="auto" w:sz="4" w:space="0"/>
              <w:bottom w:val="single" w:color="auto" w:sz="4" w:space="0"/>
              <w:right w:val="single" w:color="auto" w:sz="4" w:space="0"/>
            </w:tcBorders>
            <w:noWrap/>
            <w:vAlign w:val="center"/>
          </w:tcPr>
          <w:p w14:paraId="29263F22">
            <w:pPr>
              <w:adjustRightInd w:val="0"/>
              <w:snapToGrid w:val="0"/>
              <w:spacing w:line="40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产品名称</w:t>
            </w:r>
          </w:p>
        </w:tc>
        <w:tc>
          <w:tcPr>
            <w:tcW w:w="2059" w:type="dxa"/>
            <w:tcBorders>
              <w:top w:val="single" w:color="auto" w:sz="4" w:space="0"/>
              <w:left w:val="single" w:color="auto" w:sz="4" w:space="0"/>
              <w:bottom w:val="single" w:color="auto" w:sz="4" w:space="0"/>
              <w:right w:val="single" w:color="auto" w:sz="4" w:space="0"/>
            </w:tcBorders>
            <w:noWrap/>
            <w:vAlign w:val="center"/>
          </w:tcPr>
          <w:p w14:paraId="19EC9A6A">
            <w:pPr>
              <w:adjustRightInd w:val="0"/>
              <w:snapToGrid w:val="0"/>
              <w:spacing w:line="40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第1组数量</w:t>
            </w:r>
          </w:p>
        </w:tc>
        <w:tc>
          <w:tcPr>
            <w:tcW w:w="2060" w:type="dxa"/>
            <w:tcBorders>
              <w:top w:val="single" w:color="auto" w:sz="4" w:space="0"/>
              <w:left w:val="single" w:color="auto" w:sz="4" w:space="0"/>
              <w:bottom w:val="single" w:color="auto" w:sz="4" w:space="0"/>
              <w:right w:val="single" w:color="auto" w:sz="4" w:space="0"/>
            </w:tcBorders>
            <w:noWrap/>
            <w:vAlign w:val="center"/>
          </w:tcPr>
          <w:p w14:paraId="6B9FE372">
            <w:pPr>
              <w:adjustRightInd w:val="0"/>
              <w:snapToGrid w:val="0"/>
              <w:spacing w:line="400" w:lineRule="exact"/>
              <w:jc w:val="center"/>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rPr>
              <w:t>第2组数量</w:t>
            </w:r>
          </w:p>
        </w:tc>
      </w:tr>
      <w:tr w14:paraId="41DBA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ign w:val="center"/>
          </w:tcPr>
          <w:p w14:paraId="42F91EC2">
            <w:pPr>
              <w:adjustRightInd w:val="0"/>
              <w:snapToGrid w:val="0"/>
              <w:spacing w:line="40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059" w:type="dxa"/>
            <w:tcBorders>
              <w:top w:val="single" w:color="auto" w:sz="4" w:space="0"/>
              <w:left w:val="single" w:color="auto" w:sz="4" w:space="0"/>
              <w:bottom w:val="single" w:color="auto" w:sz="4" w:space="0"/>
              <w:right w:val="single" w:color="auto" w:sz="4" w:space="0"/>
            </w:tcBorders>
            <w:noWrap/>
            <w:vAlign w:val="center"/>
          </w:tcPr>
          <w:p w14:paraId="101CEA6F">
            <w:pPr>
              <w:adjustRightInd w:val="0"/>
              <w:snapToGrid w:val="0"/>
              <w:spacing w:line="40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铝塑复合板</w:t>
            </w:r>
          </w:p>
        </w:tc>
        <w:tc>
          <w:tcPr>
            <w:tcW w:w="2059" w:type="dxa"/>
            <w:tcBorders>
              <w:top w:val="single" w:color="auto" w:sz="4" w:space="0"/>
              <w:left w:val="single" w:color="auto" w:sz="4" w:space="0"/>
              <w:bottom w:val="single" w:color="auto" w:sz="4" w:space="0"/>
              <w:right w:val="single" w:color="auto" w:sz="4" w:space="0"/>
            </w:tcBorders>
            <w:noWrap/>
            <w:vAlign w:val="center"/>
          </w:tcPr>
          <w:p w14:paraId="150A302E">
            <w:pPr>
              <w:adjustRightInd w:val="0"/>
              <w:snapToGrid w:val="0"/>
              <w:spacing w:line="40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铝塑复合板（凳）</w:t>
            </w:r>
          </w:p>
        </w:tc>
        <w:tc>
          <w:tcPr>
            <w:tcW w:w="2059" w:type="dxa"/>
            <w:tcBorders>
              <w:top w:val="single" w:color="auto" w:sz="4" w:space="0"/>
              <w:left w:val="single" w:color="auto" w:sz="4" w:space="0"/>
              <w:bottom w:val="single" w:color="auto" w:sz="4" w:space="0"/>
              <w:right w:val="single" w:color="auto" w:sz="4" w:space="0"/>
            </w:tcBorders>
            <w:noWrap/>
            <w:vAlign w:val="center"/>
          </w:tcPr>
          <w:p w14:paraId="7F76F8B9">
            <w:pPr>
              <w:adjustRightInd w:val="0"/>
              <w:snapToGrid w:val="0"/>
              <w:spacing w:line="40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6块</w:t>
            </w:r>
          </w:p>
        </w:tc>
        <w:tc>
          <w:tcPr>
            <w:tcW w:w="2060" w:type="dxa"/>
            <w:tcBorders>
              <w:top w:val="single" w:color="auto" w:sz="4" w:space="0"/>
              <w:left w:val="single" w:color="auto" w:sz="4" w:space="0"/>
              <w:bottom w:val="single" w:color="auto" w:sz="4" w:space="0"/>
              <w:right w:val="single" w:color="auto" w:sz="4" w:space="0"/>
            </w:tcBorders>
            <w:noWrap/>
            <w:vAlign w:val="center"/>
          </w:tcPr>
          <w:p w14:paraId="36392E66">
            <w:pPr>
              <w:adjustRightInd w:val="0"/>
              <w:snapToGrid w:val="0"/>
              <w:spacing w:line="40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6块</w:t>
            </w:r>
          </w:p>
        </w:tc>
      </w:tr>
    </w:tbl>
    <w:p w14:paraId="5839EFCB">
      <w:pPr>
        <w:keepNext w:val="0"/>
        <w:keepLines w:val="0"/>
        <w:pageBreakBefore w:val="0"/>
        <w:widowControl w:val="0"/>
        <w:kinsoku/>
        <w:wordWrap/>
        <w:overflowPunct/>
        <w:topLinePunct w:val="0"/>
        <w:bidi w:val="0"/>
        <w:adjustRightInd/>
        <w:snapToGrid/>
        <w:spacing w:line="560" w:lineRule="exact"/>
        <w:ind w:firstLine="632"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检验依据</w:t>
      </w:r>
    </w:p>
    <w:p w14:paraId="53FBA05B">
      <w:pPr>
        <w:keepNext w:val="0"/>
        <w:keepLines w:val="0"/>
        <w:pageBreakBefore w:val="0"/>
        <w:kinsoku/>
        <w:wordWrap/>
        <w:overflowPunct/>
        <w:topLinePunct w:val="0"/>
        <w:bidi w:val="0"/>
        <w:snapToGrid w:val="0"/>
        <w:spacing w:line="560" w:lineRule="exact"/>
        <w:ind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楷体_GB2312" w:cs="Times New Roman"/>
          <w:b w:val="0"/>
          <w:bCs w:val="0"/>
          <w:kern w:val="0"/>
          <w:sz w:val="32"/>
          <w:szCs w:val="32"/>
          <w:lang w:eastAsia="zh-CN"/>
        </w:rPr>
        <w:t>（一）</w:t>
      </w:r>
      <w:r>
        <w:rPr>
          <w:rFonts w:hint="default" w:ascii="Times New Roman" w:hAnsi="Times New Roman" w:eastAsia="楷体_GB2312" w:cs="Times New Roman"/>
          <w:b w:val="0"/>
          <w:bCs w:val="0"/>
          <w:kern w:val="0"/>
          <w:sz w:val="32"/>
          <w:szCs w:val="32"/>
        </w:rPr>
        <w:t>GB/T 17748-2016《建筑幕墙用铝塑复合板》检验项目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3403"/>
        <w:gridCol w:w="4127"/>
      </w:tblGrid>
      <w:tr w14:paraId="4FB8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857" w:type="dxa"/>
            <w:noWrap w:val="0"/>
            <w:vAlign w:val="center"/>
          </w:tcPr>
          <w:p w14:paraId="36991F4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序号</w:t>
            </w:r>
          </w:p>
        </w:tc>
        <w:tc>
          <w:tcPr>
            <w:tcW w:w="3403" w:type="dxa"/>
            <w:noWrap w:val="0"/>
            <w:vAlign w:val="center"/>
          </w:tcPr>
          <w:p w14:paraId="568CCE6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检验项目</w:t>
            </w:r>
          </w:p>
        </w:tc>
        <w:tc>
          <w:tcPr>
            <w:tcW w:w="4127" w:type="dxa"/>
            <w:noWrap w:val="0"/>
            <w:vAlign w:val="center"/>
          </w:tcPr>
          <w:p w14:paraId="6E4D243A">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检验方法</w:t>
            </w:r>
          </w:p>
        </w:tc>
      </w:tr>
      <w:tr w14:paraId="08742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857" w:type="dxa"/>
            <w:noWrap w:val="0"/>
            <w:vAlign w:val="top"/>
          </w:tcPr>
          <w:p w14:paraId="4CBD3F6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p>
        </w:tc>
        <w:tc>
          <w:tcPr>
            <w:tcW w:w="3403" w:type="dxa"/>
            <w:noWrap w:val="0"/>
            <w:vAlign w:val="top"/>
          </w:tcPr>
          <w:p w14:paraId="5260310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铝材厚度</w:t>
            </w:r>
          </w:p>
        </w:tc>
        <w:tc>
          <w:tcPr>
            <w:tcW w:w="4127" w:type="dxa"/>
            <w:noWrap w:val="0"/>
            <w:vAlign w:val="center"/>
          </w:tcPr>
          <w:p w14:paraId="025ACF7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3C4EF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857" w:type="dxa"/>
            <w:noWrap w:val="0"/>
            <w:vAlign w:val="top"/>
          </w:tcPr>
          <w:p w14:paraId="7640DB6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p>
        </w:tc>
        <w:tc>
          <w:tcPr>
            <w:tcW w:w="3403" w:type="dxa"/>
            <w:noWrap w:val="0"/>
            <w:vAlign w:val="top"/>
          </w:tcPr>
          <w:p w14:paraId="593EA91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涂层厚度</w:t>
            </w:r>
          </w:p>
        </w:tc>
        <w:tc>
          <w:tcPr>
            <w:tcW w:w="4127" w:type="dxa"/>
            <w:noWrap w:val="0"/>
            <w:vAlign w:val="center"/>
          </w:tcPr>
          <w:p w14:paraId="632BB96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4957-2003</w:t>
            </w:r>
          </w:p>
        </w:tc>
      </w:tr>
      <w:tr w14:paraId="7589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857" w:type="dxa"/>
            <w:noWrap w:val="0"/>
            <w:vAlign w:val="top"/>
          </w:tcPr>
          <w:p w14:paraId="63D8F2D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p>
        </w:tc>
        <w:tc>
          <w:tcPr>
            <w:tcW w:w="3403" w:type="dxa"/>
            <w:noWrap w:val="0"/>
            <w:vAlign w:val="top"/>
          </w:tcPr>
          <w:p w14:paraId="54F338D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光泽度偏差</w:t>
            </w:r>
          </w:p>
        </w:tc>
        <w:tc>
          <w:tcPr>
            <w:tcW w:w="4127" w:type="dxa"/>
            <w:noWrap w:val="0"/>
            <w:vAlign w:val="center"/>
          </w:tcPr>
          <w:p w14:paraId="64EA4C2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9754-2007</w:t>
            </w:r>
          </w:p>
        </w:tc>
      </w:tr>
      <w:tr w14:paraId="52CC8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857" w:type="dxa"/>
            <w:noWrap w:val="0"/>
            <w:vAlign w:val="top"/>
          </w:tcPr>
          <w:p w14:paraId="1C636D8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p>
        </w:tc>
        <w:tc>
          <w:tcPr>
            <w:tcW w:w="3403" w:type="dxa"/>
            <w:noWrap w:val="0"/>
            <w:vAlign w:val="top"/>
          </w:tcPr>
          <w:p w14:paraId="06BCE0D4">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表面铅笔硬度</w:t>
            </w:r>
          </w:p>
        </w:tc>
        <w:tc>
          <w:tcPr>
            <w:tcW w:w="4127" w:type="dxa"/>
            <w:noWrap w:val="0"/>
            <w:vAlign w:val="center"/>
          </w:tcPr>
          <w:p w14:paraId="60F1F36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6739-2022</w:t>
            </w:r>
          </w:p>
        </w:tc>
      </w:tr>
      <w:tr w14:paraId="6833A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jc w:val="center"/>
        </w:trPr>
        <w:tc>
          <w:tcPr>
            <w:tcW w:w="1857" w:type="dxa"/>
            <w:noWrap w:val="0"/>
            <w:vAlign w:val="top"/>
          </w:tcPr>
          <w:p w14:paraId="567539E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p>
        </w:tc>
        <w:tc>
          <w:tcPr>
            <w:tcW w:w="3403" w:type="dxa"/>
            <w:noWrap w:val="0"/>
            <w:vAlign w:val="top"/>
          </w:tcPr>
          <w:p w14:paraId="3DAD3AD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柔韧性</w:t>
            </w:r>
          </w:p>
        </w:tc>
        <w:tc>
          <w:tcPr>
            <w:tcW w:w="4127" w:type="dxa"/>
            <w:noWrap w:val="0"/>
            <w:vAlign w:val="center"/>
          </w:tcPr>
          <w:p w14:paraId="0D6481B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01D9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38F4A1B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tc>
        <w:tc>
          <w:tcPr>
            <w:tcW w:w="3403" w:type="dxa"/>
            <w:noWrap w:val="0"/>
            <w:vAlign w:val="top"/>
          </w:tcPr>
          <w:p w14:paraId="4B110C6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附着力</w:t>
            </w:r>
          </w:p>
        </w:tc>
        <w:tc>
          <w:tcPr>
            <w:tcW w:w="4127" w:type="dxa"/>
            <w:noWrap w:val="0"/>
            <w:vAlign w:val="center"/>
          </w:tcPr>
          <w:p w14:paraId="681AB63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9286-2021</w:t>
            </w:r>
          </w:p>
        </w:tc>
      </w:tr>
      <w:tr w14:paraId="3972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32A2ECE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p>
        </w:tc>
        <w:tc>
          <w:tcPr>
            <w:tcW w:w="3403" w:type="dxa"/>
            <w:noWrap w:val="0"/>
            <w:vAlign w:val="top"/>
          </w:tcPr>
          <w:p w14:paraId="18A0A02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耐冲击性</w:t>
            </w:r>
          </w:p>
        </w:tc>
        <w:tc>
          <w:tcPr>
            <w:tcW w:w="4127" w:type="dxa"/>
            <w:noWrap w:val="0"/>
            <w:vAlign w:val="top"/>
          </w:tcPr>
          <w:p w14:paraId="042A50A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1732-2020</w:t>
            </w:r>
          </w:p>
        </w:tc>
      </w:tr>
      <w:tr w14:paraId="154F2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76BDDB9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p>
        </w:tc>
        <w:tc>
          <w:tcPr>
            <w:tcW w:w="3403" w:type="dxa"/>
            <w:noWrap w:val="0"/>
            <w:vAlign w:val="top"/>
          </w:tcPr>
          <w:p w14:paraId="2EDDE99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耐磨耗性</w:t>
            </w:r>
          </w:p>
        </w:tc>
        <w:tc>
          <w:tcPr>
            <w:tcW w:w="4127" w:type="dxa"/>
            <w:noWrap w:val="0"/>
            <w:vAlign w:val="top"/>
          </w:tcPr>
          <w:p w14:paraId="728F9D0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73C7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116008B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w:t>
            </w:r>
          </w:p>
        </w:tc>
        <w:tc>
          <w:tcPr>
            <w:tcW w:w="3403" w:type="dxa"/>
            <w:noWrap w:val="0"/>
            <w:vAlign w:val="top"/>
          </w:tcPr>
          <w:p w14:paraId="10A7CAD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耐沾污性</w:t>
            </w:r>
          </w:p>
        </w:tc>
        <w:tc>
          <w:tcPr>
            <w:tcW w:w="4127" w:type="dxa"/>
            <w:noWrap w:val="0"/>
            <w:vAlign w:val="top"/>
          </w:tcPr>
          <w:p w14:paraId="4FA49A1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9780-2013</w:t>
            </w:r>
          </w:p>
        </w:tc>
      </w:tr>
      <w:tr w14:paraId="126EB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1E23F6A9">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p>
        </w:tc>
        <w:tc>
          <w:tcPr>
            <w:tcW w:w="3403" w:type="dxa"/>
            <w:noWrap w:val="0"/>
            <w:vAlign w:val="top"/>
          </w:tcPr>
          <w:p w14:paraId="2DC9B50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耐盐酸性</w:t>
            </w:r>
          </w:p>
        </w:tc>
        <w:tc>
          <w:tcPr>
            <w:tcW w:w="4127" w:type="dxa"/>
            <w:noWrap w:val="0"/>
            <w:vAlign w:val="top"/>
          </w:tcPr>
          <w:p w14:paraId="17BE1EF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6F6C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6017750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w:t>
            </w:r>
          </w:p>
        </w:tc>
        <w:tc>
          <w:tcPr>
            <w:tcW w:w="3403" w:type="dxa"/>
            <w:noWrap w:val="0"/>
            <w:vAlign w:val="top"/>
          </w:tcPr>
          <w:p w14:paraId="3576AA5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耐碱性</w:t>
            </w:r>
          </w:p>
        </w:tc>
        <w:tc>
          <w:tcPr>
            <w:tcW w:w="4127" w:type="dxa"/>
            <w:noWrap w:val="0"/>
            <w:vAlign w:val="top"/>
          </w:tcPr>
          <w:p w14:paraId="7281C7F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299AD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2EF1AE3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w:t>
            </w:r>
          </w:p>
        </w:tc>
        <w:tc>
          <w:tcPr>
            <w:tcW w:w="3403" w:type="dxa"/>
            <w:noWrap w:val="0"/>
            <w:vAlign w:val="top"/>
          </w:tcPr>
          <w:p w14:paraId="6CE4862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耐油性</w:t>
            </w:r>
          </w:p>
        </w:tc>
        <w:tc>
          <w:tcPr>
            <w:tcW w:w="4127" w:type="dxa"/>
            <w:noWrap w:val="0"/>
            <w:vAlign w:val="top"/>
          </w:tcPr>
          <w:p w14:paraId="28F63FC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2375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372F9CC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w:t>
            </w:r>
          </w:p>
        </w:tc>
        <w:tc>
          <w:tcPr>
            <w:tcW w:w="3403" w:type="dxa"/>
            <w:noWrap w:val="0"/>
            <w:vAlign w:val="top"/>
          </w:tcPr>
          <w:p w14:paraId="092E247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耐溶剂性</w:t>
            </w:r>
          </w:p>
        </w:tc>
        <w:tc>
          <w:tcPr>
            <w:tcW w:w="4127" w:type="dxa"/>
            <w:noWrap w:val="0"/>
            <w:vAlign w:val="top"/>
          </w:tcPr>
          <w:p w14:paraId="6A50B174">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319D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3FBE50A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w:t>
            </w:r>
          </w:p>
        </w:tc>
        <w:tc>
          <w:tcPr>
            <w:tcW w:w="3403" w:type="dxa"/>
            <w:noWrap w:val="0"/>
            <w:vAlign w:val="top"/>
          </w:tcPr>
          <w:p w14:paraId="38161F5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耐硝酸性</w:t>
            </w:r>
          </w:p>
        </w:tc>
        <w:tc>
          <w:tcPr>
            <w:tcW w:w="4127" w:type="dxa"/>
            <w:noWrap w:val="0"/>
            <w:vAlign w:val="top"/>
          </w:tcPr>
          <w:p w14:paraId="54C1C40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62838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7B929464">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w:t>
            </w:r>
          </w:p>
        </w:tc>
        <w:tc>
          <w:tcPr>
            <w:tcW w:w="3403" w:type="dxa"/>
            <w:noWrap w:val="0"/>
            <w:vAlign w:val="top"/>
          </w:tcPr>
          <w:p w14:paraId="3FFB423A">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弯曲强度</w:t>
            </w:r>
          </w:p>
        </w:tc>
        <w:tc>
          <w:tcPr>
            <w:tcW w:w="4127" w:type="dxa"/>
            <w:noWrap w:val="0"/>
            <w:vAlign w:val="top"/>
          </w:tcPr>
          <w:p w14:paraId="7D36A31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7B68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7EDE69F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w:t>
            </w:r>
          </w:p>
        </w:tc>
        <w:tc>
          <w:tcPr>
            <w:tcW w:w="3403" w:type="dxa"/>
            <w:noWrap w:val="0"/>
            <w:vAlign w:val="top"/>
          </w:tcPr>
          <w:p w14:paraId="7F737E1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弯曲弹性模量</w:t>
            </w:r>
          </w:p>
        </w:tc>
        <w:tc>
          <w:tcPr>
            <w:tcW w:w="4127" w:type="dxa"/>
            <w:noWrap w:val="0"/>
            <w:vAlign w:val="top"/>
          </w:tcPr>
          <w:p w14:paraId="2B532EF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4133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7E1666C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w:t>
            </w:r>
          </w:p>
        </w:tc>
        <w:tc>
          <w:tcPr>
            <w:tcW w:w="3403" w:type="dxa"/>
            <w:noWrap w:val="0"/>
            <w:vAlign w:val="top"/>
          </w:tcPr>
          <w:p w14:paraId="37373E4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贯穿阻力</w:t>
            </w:r>
          </w:p>
        </w:tc>
        <w:tc>
          <w:tcPr>
            <w:tcW w:w="4127" w:type="dxa"/>
            <w:noWrap w:val="0"/>
            <w:vAlign w:val="top"/>
          </w:tcPr>
          <w:p w14:paraId="608F3B8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6192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1857" w:type="dxa"/>
            <w:noWrap w:val="0"/>
            <w:vAlign w:val="top"/>
          </w:tcPr>
          <w:p w14:paraId="0847B54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w:t>
            </w:r>
          </w:p>
        </w:tc>
        <w:tc>
          <w:tcPr>
            <w:tcW w:w="3403" w:type="dxa"/>
            <w:noWrap w:val="0"/>
            <w:vAlign w:val="top"/>
          </w:tcPr>
          <w:p w14:paraId="3F65AC9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剪切强度</w:t>
            </w:r>
          </w:p>
        </w:tc>
        <w:tc>
          <w:tcPr>
            <w:tcW w:w="4127" w:type="dxa"/>
            <w:noWrap w:val="0"/>
            <w:vAlign w:val="top"/>
          </w:tcPr>
          <w:p w14:paraId="1E40306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5BD17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1D4F85E9">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w:t>
            </w:r>
          </w:p>
        </w:tc>
        <w:tc>
          <w:tcPr>
            <w:tcW w:w="3403" w:type="dxa"/>
            <w:noWrap w:val="0"/>
            <w:vAlign w:val="top"/>
          </w:tcPr>
          <w:p w14:paraId="2C86CAC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滚筒剥离强度</w:t>
            </w:r>
          </w:p>
        </w:tc>
        <w:tc>
          <w:tcPr>
            <w:tcW w:w="4127" w:type="dxa"/>
            <w:noWrap w:val="0"/>
            <w:vAlign w:val="top"/>
          </w:tcPr>
          <w:p w14:paraId="780EAA3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1457-2022</w:t>
            </w:r>
          </w:p>
        </w:tc>
      </w:tr>
      <w:tr w14:paraId="1044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28E05F4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p>
        </w:tc>
        <w:tc>
          <w:tcPr>
            <w:tcW w:w="3403" w:type="dxa"/>
            <w:noWrap w:val="0"/>
            <w:vAlign w:val="top"/>
          </w:tcPr>
          <w:p w14:paraId="30FD41B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热膨胀系数</w:t>
            </w:r>
          </w:p>
        </w:tc>
        <w:tc>
          <w:tcPr>
            <w:tcW w:w="4127" w:type="dxa"/>
            <w:noWrap w:val="0"/>
            <w:vAlign w:val="top"/>
          </w:tcPr>
          <w:p w14:paraId="362D2DB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r w14:paraId="578B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57" w:type="dxa"/>
            <w:noWrap w:val="0"/>
            <w:vAlign w:val="top"/>
          </w:tcPr>
          <w:p w14:paraId="7E51396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w:t>
            </w:r>
          </w:p>
        </w:tc>
        <w:tc>
          <w:tcPr>
            <w:tcW w:w="3403" w:type="dxa"/>
            <w:noWrap w:val="0"/>
            <w:vAlign w:val="top"/>
          </w:tcPr>
          <w:p w14:paraId="02506F3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热变形温度</w:t>
            </w:r>
          </w:p>
        </w:tc>
        <w:tc>
          <w:tcPr>
            <w:tcW w:w="4127" w:type="dxa"/>
            <w:noWrap w:val="0"/>
            <w:vAlign w:val="top"/>
          </w:tcPr>
          <w:p w14:paraId="0900751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1634.2-2019</w:t>
            </w:r>
          </w:p>
        </w:tc>
      </w:tr>
      <w:tr w14:paraId="2F5BA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1857" w:type="dxa"/>
            <w:noWrap w:val="0"/>
            <w:vAlign w:val="top"/>
          </w:tcPr>
          <w:p w14:paraId="42897D9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w:t>
            </w:r>
          </w:p>
        </w:tc>
        <w:tc>
          <w:tcPr>
            <w:tcW w:w="3403" w:type="dxa"/>
            <w:noWrap w:val="0"/>
            <w:vAlign w:val="top"/>
          </w:tcPr>
          <w:p w14:paraId="1A898B3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耐热水性</w:t>
            </w:r>
          </w:p>
        </w:tc>
        <w:tc>
          <w:tcPr>
            <w:tcW w:w="4127" w:type="dxa"/>
            <w:noWrap w:val="0"/>
            <w:vAlign w:val="top"/>
          </w:tcPr>
          <w:p w14:paraId="1572EFA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17748-2016</w:t>
            </w:r>
          </w:p>
        </w:tc>
      </w:tr>
    </w:tbl>
    <w:p w14:paraId="2A2512DA">
      <w:pPr>
        <w:keepNext w:val="0"/>
        <w:keepLines w:val="0"/>
        <w:pageBreakBefore w:val="0"/>
        <w:kinsoku/>
        <w:wordWrap/>
        <w:overflowPunct/>
        <w:topLinePunct w:val="0"/>
        <w:bidi w:val="0"/>
        <w:spacing w:line="560" w:lineRule="exact"/>
        <w:ind w:firstLine="632"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bCs/>
          <w:kern w:val="0"/>
          <w:sz w:val="32"/>
          <w:szCs w:val="32"/>
          <w:lang w:eastAsia="zh-CN"/>
        </w:rPr>
        <w:t>（二）</w:t>
      </w:r>
      <w:r>
        <w:rPr>
          <w:rFonts w:hint="default" w:ascii="Times New Roman" w:hAnsi="Times New Roman" w:eastAsia="楷体_GB2312" w:cs="Times New Roman"/>
          <w:kern w:val="0"/>
          <w:sz w:val="32"/>
          <w:szCs w:val="32"/>
        </w:rPr>
        <w:t>GB/T 22412-2016《普通装饰用铝塑复合板》</w:t>
      </w:r>
      <w:r>
        <w:rPr>
          <w:rFonts w:hint="default" w:ascii="Times New Roman" w:hAnsi="Times New Roman" w:eastAsia="楷体_GB2312" w:cs="Times New Roman"/>
          <w:bCs/>
          <w:kern w:val="0"/>
          <w:sz w:val="32"/>
          <w:szCs w:val="32"/>
        </w:rPr>
        <w:t>检验项目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6"/>
        <w:gridCol w:w="3115"/>
        <w:gridCol w:w="4270"/>
      </w:tblGrid>
      <w:tr w14:paraId="4E60F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1906" w:type="dxa"/>
            <w:noWrap w:val="0"/>
            <w:vAlign w:val="center"/>
          </w:tcPr>
          <w:p w14:paraId="6AD64FB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序号</w:t>
            </w:r>
          </w:p>
        </w:tc>
        <w:tc>
          <w:tcPr>
            <w:tcW w:w="3115" w:type="dxa"/>
            <w:noWrap w:val="0"/>
            <w:vAlign w:val="center"/>
          </w:tcPr>
          <w:p w14:paraId="2EE5699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检验项目</w:t>
            </w:r>
          </w:p>
        </w:tc>
        <w:tc>
          <w:tcPr>
            <w:tcW w:w="4270" w:type="dxa"/>
            <w:noWrap w:val="0"/>
            <w:vAlign w:val="center"/>
          </w:tcPr>
          <w:p w14:paraId="12BA644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检验方法</w:t>
            </w:r>
          </w:p>
        </w:tc>
      </w:tr>
      <w:tr w14:paraId="6233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906" w:type="dxa"/>
            <w:noWrap w:val="0"/>
            <w:vAlign w:val="top"/>
          </w:tcPr>
          <w:p w14:paraId="6BFA8FB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p>
        </w:tc>
        <w:tc>
          <w:tcPr>
            <w:tcW w:w="3115" w:type="dxa"/>
            <w:noWrap w:val="0"/>
            <w:vAlign w:val="top"/>
          </w:tcPr>
          <w:p w14:paraId="543339B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铝材厚度</w:t>
            </w:r>
          </w:p>
        </w:tc>
        <w:tc>
          <w:tcPr>
            <w:tcW w:w="4270" w:type="dxa"/>
            <w:noWrap w:val="0"/>
            <w:vAlign w:val="top"/>
          </w:tcPr>
          <w:p w14:paraId="2491763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0130E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906" w:type="dxa"/>
            <w:noWrap w:val="0"/>
            <w:vAlign w:val="top"/>
          </w:tcPr>
          <w:p w14:paraId="44A7607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p>
        </w:tc>
        <w:tc>
          <w:tcPr>
            <w:tcW w:w="3115" w:type="dxa"/>
            <w:noWrap w:val="0"/>
            <w:vAlign w:val="top"/>
          </w:tcPr>
          <w:p w14:paraId="46E79749">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涂层厚度</w:t>
            </w:r>
          </w:p>
        </w:tc>
        <w:tc>
          <w:tcPr>
            <w:tcW w:w="4270" w:type="dxa"/>
            <w:noWrap w:val="0"/>
            <w:vAlign w:val="center"/>
          </w:tcPr>
          <w:p w14:paraId="27A91A8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4957-2003</w:t>
            </w:r>
          </w:p>
        </w:tc>
      </w:tr>
      <w:tr w14:paraId="6ACEF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906" w:type="dxa"/>
            <w:noWrap w:val="0"/>
            <w:vAlign w:val="top"/>
          </w:tcPr>
          <w:p w14:paraId="5159E01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p>
        </w:tc>
        <w:tc>
          <w:tcPr>
            <w:tcW w:w="3115" w:type="dxa"/>
            <w:noWrap w:val="0"/>
            <w:vAlign w:val="top"/>
          </w:tcPr>
          <w:p w14:paraId="31CAFA6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光泽度偏差</w:t>
            </w:r>
          </w:p>
        </w:tc>
        <w:tc>
          <w:tcPr>
            <w:tcW w:w="4270" w:type="dxa"/>
            <w:noWrap w:val="0"/>
            <w:vAlign w:val="center"/>
          </w:tcPr>
          <w:p w14:paraId="536B56C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9754-2007</w:t>
            </w:r>
          </w:p>
        </w:tc>
      </w:tr>
      <w:tr w14:paraId="3B94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 w:hRule="atLeast"/>
          <w:jc w:val="center"/>
        </w:trPr>
        <w:tc>
          <w:tcPr>
            <w:tcW w:w="1906" w:type="dxa"/>
            <w:noWrap w:val="0"/>
            <w:vAlign w:val="top"/>
          </w:tcPr>
          <w:p w14:paraId="7EDD55B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p>
        </w:tc>
        <w:tc>
          <w:tcPr>
            <w:tcW w:w="3115" w:type="dxa"/>
            <w:noWrap w:val="0"/>
            <w:vAlign w:val="top"/>
          </w:tcPr>
          <w:p w14:paraId="4CA9CD4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表面铅笔硬度</w:t>
            </w:r>
          </w:p>
        </w:tc>
        <w:tc>
          <w:tcPr>
            <w:tcW w:w="4270" w:type="dxa"/>
            <w:noWrap w:val="0"/>
            <w:vAlign w:val="center"/>
          </w:tcPr>
          <w:p w14:paraId="2C17167B">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6739-2022</w:t>
            </w:r>
          </w:p>
        </w:tc>
      </w:tr>
      <w:tr w14:paraId="187B4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64CA845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p>
        </w:tc>
        <w:tc>
          <w:tcPr>
            <w:tcW w:w="3115" w:type="dxa"/>
            <w:noWrap w:val="0"/>
            <w:vAlign w:val="top"/>
          </w:tcPr>
          <w:p w14:paraId="2C7F1C0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柔韧性</w:t>
            </w:r>
          </w:p>
        </w:tc>
        <w:tc>
          <w:tcPr>
            <w:tcW w:w="4270" w:type="dxa"/>
            <w:noWrap w:val="0"/>
            <w:vAlign w:val="top"/>
          </w:tcPr>
          <w:p w14:paraId="5D0B3A6A">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2B50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3D20DA5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tc>
        <w:tc>
          <w:tcPr>
            <w:tcW w:w="3115" w:type="dxa"/>
            <w:noWrap w:val="0"/>
            <w:vAlign w:val="top"/>
          </w:tcPr>
          <w:p w14:paraId="7E1E591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附着力</w:t>
            </w:r>
          </w:p>
        </w:tc>
        <w:tc>
          <w:tcPr>
            <w:tcW w:w="4270" w:type="dxa"/>
            <w:noWrap w:val="0"/>
            <w:vAlign w:val="center"/>
          </w:tcPr>
          <w:p w14:paraId="3AC3B2E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9286-2021</w:t>
            </w:r>
          </w:p>
        </w:tc>
      </w:tr>
      <w:tr w14:paraId="5A4C6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1E8A2DB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p>
        </w:tc>
        <w:tc>
          <w:tcPr>
            <w:tcW w:w="3115" w:type="dxa"/>
            <w:noWrap w:val="0"/>
            <w:vAlign w:val="top"/>
          </w:tcPr>
          <w:p w14:paraId="6DFFCA1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耐冲击性</w:t>
            </w:r>
          </w:p>
        </w:tc>
        <w:tc>
          <w:tcPr>
            <w:tcW w:w="4270" w:type="dxa"/>
            <w:noWrap w:val="0"/>
            <w:vAlign w:val="top"/>
          </w:tcPr>
          <w:p w14:paraId="2DDF350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1732-2020</w:t>
            </w:r>
          </w:p>
        </w:tc>
      </w:tr>
      <w:tr w14:paraId="53A7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1650E60D">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p>
        </w:tc>
        <w:tc>
          <w:tcPr>
            <w:tcW w:w="3115" w:type="dxa"/>
            <w:noWrap w:val="0"/>
            <w:vAlign w:val="top"/>
          </w:tcPr>
          <w:p w14:paraId="3EEAF29A">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耐盐酸性</w:t>
            </w:r>
          </w:p>
        </w:tc>
        <w:tc>
          <w:tcPr>
            <w:tcW w:w="4270" w:type="dxa"/>
            <w:noWrap w:val="0"/>
            <w:vAlign w:val="top"/>
          </w:tcPr>
          <w:p w14:paraId="54DC62C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17C4A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0AABB06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w:t>
            </w:r>
          </w:p>
        </w:tc>
        <w:tc>
          <w:tcPr>
            <w:tcW w:w="3115" w:type="dxa"/>
            <w:noWrap w:val="0"/>
            <w:vAlign w:val="top"/>
          </w:tcPr>
          <w:p w14:paraId="454CF2F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耐油性</w:t>
            </w:r>
          </w:p>
        </w:tc>
        <w:tc>
          <w:tcPr>
            <w:tcW w:w="4270" w:type="dxa"/>
            <w:noWrap w:val="0"/>
            <w:vAlign w:val="top"/>
          </w:tcPr>
          <w:p w14:paraId="45F5CBE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4B75C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 w:hRule="atLeast"/>
          <w:jc w:val="center"/>
        </w:trPr>
        <w:tc>
          <w:tcPr>
            <w:tcW w:w="1906" w:type="dxa"/>
            <w:noWrap w:val="0"/>
            <w:vAlign w:val="top"/>
          </w:tcPr>
          <w:p w14:paraId="438308A4">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p>
        </w:tc>
        <w:tc>
          <w:tcPr>
            <w:tcW w:w="3115" w:type="dxa"/>
            <w:noWrap w:val="0"/>
            <w:vAlign w:val="top"/>
          </w:tcPr>
          <w:p w14:paraId="7C7193B2">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耐碱性</w:t>
            </w:r>
          </w:p>
        </w:tc>
        <w:tc>
          <w:tcPr>
            <w:tcW w:w="4270" w:type="dxa"/>
            <w:noWrap w:val="0"/>
            <w:vAlign w:val="top"/>
          </w:tcPr>
          <w:p w14:paraId="0D56C55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6CD7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033C983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w:t>
            </w:r>
          </w:p>
        </w:tc>
        <w:tc>
          <w:tcPr>
            <w:tcW w:w="3115" w:type="dxa"/>
            <w:noWrap w:val="0"/>
            <w:vAlign w:val="top"/>
          </w:tcPr>
          <w:p w14:paraId="4C3E8C46">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耐硝酸性</w:t>
            </w:r>
          </w:p>
        </w:tc>
        <w:tc>
          <w:tcPr>
            <w:tcW w:w="4270" w:type="dxa"/>
            <w:noWrap w:val="0"/>
            <w:vAlign w:val="top"/>
          </w:tcPr>
          <w:p w14:paraId="2405F7E4">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328B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5C1F86DE">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w:t>
            </w:r>
          </w:p>
        </w:tc>
        <w:tc>
          <w:tcPr>
            <w:tcW w:w="3115" w:type="dxa"/>
            <w:noWrap w:val="0"/>
            <w:vAlign w:val="top"/>
          </w:tcPr>
          <w:p w14:paraId="00A38BA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耐溶剂性</w:t>
            </w:r>
          </w:p>
        </w:tc>
        <w:tc>
          <w:tcPr>
            <w:tcW w:w="4270" w:type="dxa"/>
            <w:noWrap w:val="0"/>
            <w:vAlign w:val="top"/>
          </w:tcPr>
          <w:p w14:paraId="742814CF">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58ED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79E560B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w:t>
            </w:r>
          </w:p>
        </w:tc>
        <w:tc>
          <w:tcPr>
            <w:tcW w:w="3115" w:type="dxa"/>
            <w:noWrap w:val="0"/>
            <w:vAlign w:val="top"/>
          </w:tcPr>
          <w:p w14:paraId="68841E6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耐沾污性</w:t>
            </w:r>
          </w:p>
        </w:tc>
        <w:tc>
          <w:tcPr>
            <w:tcW w:w="4270" w:type="dxa"/>
            <w:noWrap w:val="0"/>
            <w:vAlign w:val="top"/>
          </w:tcPr>
          <w:p w14:paraId="1027A995">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9780-2013</w:t>
            </w:r>
          </w:p>
        </w:tc>
      </w:tr>
      <w:tr w14:paraId="5734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39D9B89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w:t>
            </w:r>
          </w:p>
        </w:tc>
        <w:tc>
          <w:tcPr>
            <w:tcW w:w="3115" w:type="dxa"/>
            <w:noWrap w:val="0"/>
            <w:vAlign w:val="top"/>
          </w:tcPr>
          <w:p w14:paraId="084931F3">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180°剥离强度</w:t>
            </w:r>
          </w:p>
        </w:tc>
        <w:tc>
          <w:tcPr>
            <w:tcW w:w="4270" w:type="dxa"/>
            <w:noWrap w:val="0"/>
            <w:vAlign w:val="top"/>
          </w:tcPr>
          <w:p w14:paraId="01F8881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2790-1995</w:t>
            </w:r>
          </w:p>
        </w:tc>
      </w:tr>
      <w:tr w14:paraId="2238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1906" w:type="dxa"/>
            <w:noWrap w:val="0"/>
            <w:vAlign w:val="top"/>
          </w:tcPr>
          <w:p w14:paraId="4998FE01">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w:t>
            </w:r>
          </w:p>
        </w:tc>
        <w:tc>
          <w:tcPr>
            <w:tcW w:w="3115" w:type="dxa"/>
            <w:noWrap w:val="0"/>
            <w:vAlign w:val="top"/>
          </w:tcPr>
          <w:p w14:paraId="5B3ACAF8">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耐热水性</w:t>
            </w:r>
          </w:p>
        </w:tc>
        <w:tc>
          <w:tcPr>
            <w:tcW w:w="4270" w:type="dxa"/>
            <w:noWrap w:val="0"/>
            <w:vAlign w:val="top"/>
          </w:tcPr>
          <w:p w14:paraId="61B2050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22412-2016</w:t>
            </w:r>
          </w:p>
        </w:tc>
      </w:tr>
      <w:tr w14:paraId="549E0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1906" w:type="dxa"/>
            <w:noWrap w:val="0"/>
            <w:vAlign w:val="top"/>
          </w:tcPr>
          <w:p w14:paraId="52891F4C">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w:t>
            </w:r>
          </w:p>
        </w:tc>
        <w:tc>
          <w:tcPr>
            <w:tcW w:w="3115" w:type="dxa"/>
            <w:noWrap w:val="0"/>
            <w:vAlign w:val="top"/>
          </w:tcPr>
          <w:p w14:paraId="6D390447">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热变形温度</w:t>
            </w:r>
          </w:p>
        </w:tc>
        <w:tc>
          <w:tcPr>
            <w:tcW w:w="4270" w:type="dxa"/>
            <w:noWrap w:val="0"/>
            <w:vAlign w:val="top"/>
          </w:tcPr>
          <w:p w14:paraId="23ABCCA0">
            <w:pPr>
              <w:keepNext w:val="0"/>
              <w:keepLines w:val="0"/>
              <w:pageBreakBefore w:val="0"/>
              <w:kinsoku/>
              <w:wordWrap/>
              <w:overflowPunct/>
              <w:topLinePunct w:val="0"/>
              <w:bidi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1634.2-2019</w:t>
            </w:r>
          </w:p>
        </w:tc>
      </w:tr>
    </w:tbl>
    <w:p w14:paraId="36848832">
      <w:pPr>
        <w:keepNext w:val="0"/>
        <w:keepLines w:val="0"/>
        <w:pageBreakBefore w:val="0"/>
        <w:widowControl/>
        <w:kinsoku/>
        <w:wordWrap/>
        <w:overflowPunct/>
        <w:topLinePunct w:val="0"/>
        <w:autoSpaceDE w:val="0"/>
        <w:autoSpaceDN w:val="0"/>
        <w:bidi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注：执行企业标准、团体标准、地方标准的产品，检验项目参照上述内容执行。</w:t>
      </w:r>
    </w:p>
    <w:p w14:paraId="00FAA72F">
      <w:pPr>
        <w:keepNext w:val="0"/>
        <w:keepLines w:val="0"/>
        <w:pageBreakBefore w:val="0"/>
        <w:widowControl/>
        <w:kinsoku/>
        <w:wordWrap/>
        <w:overflowPunct/>
        <w:topLinePunct w:val="0"/>
        <w:autoSpaceDE w:val="0"/>
        <w:autoSpaceDN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凡是注日期的文件，其随后所有的修改单（不包括勘误的内容）或修订版不适用于本细则。凡是不注日期的文件，其最新版本适用于本细则。</w:t>
      </w:r>
    </w:p>
    <w:p w14:paraId="3C84EDFC">
      <w:pPr>
        <w:keepNext w:val="0"/>
        <w:keepLines w:val="0"/>
        <w:pageBreakBefore w:val="0"/>
        <w:widowControl w:val="0"/>
        <w:kinsoku/>
        <w:wordWrap/>
        <w:overflowPunct/>
        <w:topLinePunct w:val="0"/>
        <w:bidi w:val="0"/>
        <w:adjustRightInd/>
        <w:snapToGrid/>
        <w:spacing w:line="560" w:lineRule="exact"/>
        <w:ind w:firstLine="632"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判定规则</w:t>
      </w:r>
    </w:p>
    <w:p w14:paraId="43A54D7F">
      <w:pPr>
        <w:keepNext w:val="0"/>
        <w:keepLines w:val="0"/>
        <w:pageBreakBefore w:val="0"/>
        <w:widowControl w:val="0"/>
        <w:kinsoku/>
        <w:wordWrap/>
        <w:overflowPunct/>
        <w:topLinePunct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依据标准</w:t>
      </w:r>
    </w:p>
    <w:p w14:paraId="49F78996">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GB/T 17748-2016《建筑幕墙用铝塑复合板》</w:t>
      </w:r>
    </w:p>
    <w:p w14:paraId="760FE5A6">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GB/T 22412-2016《普通装饰用铝塑复合板》</w:t>
      </w:r>
    </w:p>
    <w:p w14:paraId="3C0DCC1D">
      <w:pPr>
        <w:keepNext w:val="0"/>
        <w:keepLines w:val="0"/>
        <w:pageBreakBefore w:val="0"/>
        <w:widowControl/>
        <w:kinsoku/>
        <w:wordWrap/>
        <w:overflowPunct/>
        <w:topLinePunct w:val="0"/>
        <w:autoSpaceDE w:val="0"/>
        <w:autoSpaceDN w:val="0"/>
        <w:bidi w:val="0"/>
        <w:spacing w:line="560" w:lineRule="exact"/>
        <w:ind w:firstLine="632"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现行有效的企业标准、团体标准、地方标准及产品明示质量要求。</w:t>
      </w:r>
    </w:p>
    <w:p w14:paraId="5519C978">
      <w:pPr>
        <w:keepNext w:val="0"/>
        <w:keepLines w:val="0"/>
        <w:pageBreakBefore w:val="0"/>
        <w:widowControl w:val="0"/>
        <w:kinsoku/>
        <w:wordWrap/>
        <w:overflowPunct/>
        <w:topLinePunct w:val="0"/>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判定原则</w:t>
      </w:r>
    </w:p>
    <w:p w14:paraId="74E383C7">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14:paraId="1FDDCDCB">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14:paraId="5D9AC8A8">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14:paraId="68DDADCE">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14:paraId="7E328B16">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14:paraId="5F087B8A">
      <w:pPr>
        <w:keepNext w:val="0"/>
        <w:keepLines w:val="0"/>
        <w:pageBreakBefore w:val="0"/>
        <w:kinsoku/>
        <w:wordWrap/>
        <w:overflowPunct/>
        <w:topLinePunct w:val="0"/>
        <w:bidi w:val="0"/>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p>
    <w:p w14:paraId="0CF03315">
      <w:pPr>
        <w:keepNext w:val="0"/>
        <w:keepLines w:val="0"/>
        <w:pageBreakBefore w:val="0"/>
        <w:widowControl w:val="0"/>
        <w:kinsoku/>
        <w:wordWrap/>
        <w:overflowPunct/>
        <w:topLinePunct w:val="0"/>
        <w:autoSpaceDE/>
        <w:autoSpaceDN/>
        <w:bidi w:val="0"/>
        <w:adjustRightInd/>
        <w:snapToGrid/>
        <w:spacing w:line="560" w:lineRule="exact"/>
        <w:ind w:firstLine="605" w:firstLineChars="199"/>
        <w:textAlignment w:val="auto"/>
        <w:rPr>
          <w:rFonts w:hint="default" w:ascii="Times New Roman" w:hAnsi="Times New Roman" w:eastAsia="黑体" w:cs="Times New Roman"/>
          <w:bCs/>
          <w:color w:val="auto"/>
          <w:spacing w:val="-6"/>
          <w:sz w:val="32"/>
          <w:szCs w:val="32"/>
        </w:rPr>
        <w:sectPr>
          <w:pgSz w:w="11905" w:h="16838"/>
          <w:pgMar w:top="1701" w:right="1474" w:bottom="1474" w:left="1587" w:header="851" w:footer="1191" w:gutter="0"/>
          <w:pgBorders>
            <w:top w:val="none" w:sz="0" w:space="0"/>
            <w:left w:val="none" w:sz="0" w:space="0"/>
            <w:bottom w:val="none" w:sz="0" w:space="0"/>
            <w:right w:val="none" w:sz="0" w:space="0"/>
          </w:pgBorders>
          <w:pgNumType w:fmt="decimal"/>
          <w:cols w:space="720" w:num="1"/>
          <w:rtlGutter w:val="0"/>
          <w:docGrid w:type="linesAndChars" w:linePitch="621" w:charSpace="-849"/>
        </w:sectPr>
      </w:pPr>
    </w:p>
    <w:p w14:paraId="23F70914">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r>
        <w:rPr>
          <w:rFonts w:hint="default" w:ascii="Times New Roman" w:hAnsi="Times New Roman" w:eastAsia="黑体" w:cs="Times New Roman"/>
          <w:bCs/>
          <w:color w:val="auto"/>
          <w:spacing w:val="-6"/>
          <w:sz w:val="32"/>
          <w:szCs w:val="32"/>
        </w:rPr>
        <w:t>附件</w:t>
      </w:r>
      <w:r>
        <w:rPr>
          <w:rFonts w:hint="default" w:ascii="Times New Roman" w:hAnsi="Times New Roman" w:eastAsia="黑体" w:cs="Times New Roman"/>
          <w:bCs/>
          <w:color w:val="auto"/>
          <w:spacing w:val="-6"/>
          <w:sz w:val="32"/>
          <w:szCs w:val="32"/>
          <w:lang w:val="en-US" w:eastAsia="zh-CN"/>
        </w:rPr>
        <w:t>2</w:t>
      </w:r>
    </w:p>
    <w:p w14:paraId="0A0EEC76">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auto"/>
          <w:spacing w:val="-6"/>
          <w:position w:val="1"/>
          <w:sz w:val="32"/>
          <w:szCs w:val="32"/>
        </w:rPr>
      </w:pPr>
    </w:p>
    <w:p w14:paraId="65909356">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广东省</w:t>
      </w:r>
      <w:r>
        <w:rPr>
          <w:rFonts w:hint="default" w:ascii="Times New Roman" w:hAnsi="Times New Roman" w:eastAsia="方正小标宋简体" w:cs="Times New Roman"/>
          <w:sz w:val="44"/>
          <w:szCs w:val="44"/>
          <w:lang w:val="en-US" w:eastAsia="zh-CN"/>
        </w:rPr>
        <w:t>户外燃气燃烧器具</w:t>
      </w:r>
      <w:r>
        <w:rPr>
          <w:rFonts w:hint="default" w:ascii="Times New Roman" w:hAnsi="Times New Roman" w:eastAsia="方正小标宋简体" w:cs="Times New Roman"/>
          <w:sz w:val="44"/>
          <w:szCs w:val="44"/>
        </w:rPr>
        <w:t>产品</w:t>
      </w:r>
    </w:p>
    <w:p w14:paraId="2E206F42">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质量监督抽查实施细则</w:t>
      </w:r>
    </w:p>
    <w:p w14:paraId="7E162756">
      <w:pPr>
        <w:bidi w:val="0"/>
        <w:adjustRightInd/>
        <w:snapToGrid/>
        <w:spacing w:line="560" w:lineRule="exact"/>
        <w:jc w:val="center"/>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（2024年版）</w:t>
      </w:r>
    </w:p>
    <w:p w14:paraId="682C09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p>
    <w:p w14:paraId="63A152CA">
      <w:pPr>
        <w:pStyle w:val="9"/>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sz w:val="32"/>
          <w:szCs w:val="32"/>
        </w:rPr>
      </w:pPr>
      <w:r>
        <w:rPr>
          <w:rFonts w:hint="default" w:ascii="Times New Roman" w:hAnsi="Times New Roman" w:cs="Times New Roman"/>
          <w:sz w:val="32"/>
          <w:szCs w:val="32"/>
          <w:lang w:eastAsia="zh-CN"/>
        </w:rPr>
        <w:t>一、</w:t>
      </w:r>
      <w:r>
        <w:rPr>
          <w:rFonts w:hint="default" w:ascii="Times New Roman" w:hAnsi="Times New Roman" w:eastAsia="黑体" w:cs="Times New Roman"/>
          <w:sz w:val="32"/>
          <w:szCs w:val="32"/>
        </w:rPr>
        <w:t>抽样方法</w:t>
      </w:r>
    </w:p>
    <w:p w14:paraId="59432D3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以随机抽样的方式在被抽样生产者、销售者的待销产品中抽取。</w:t>
      </w:r>
    </w:p>
    <w:p w14:paraId="3CD2751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14:paraId="57C9872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cs="Times New Roman"/>
        </w:rPr>
      </w:pPr>
      <w:r>
        <w:rPr>
          <w:rFonts w:hint="default" w:ascii="Times New Roman" w:hAnsi="Times New Roman" w:eastAsia="仿宋_GB2312" w:cs="Times New Roman"/>
          <w:color w:val="000000"/>
          <w:sz w:val="32"/>
          <w:szCs w:val="32"/>
        </w:rPr>
        <w:t>每批次产品抽取2组样本，第1组用于检验，第2组用于备样。具体抽样数量如下：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3672"/>
        <w:gridCol w:w="2260"/>
        <w:gridCol w:w="2402"/>
      </w:tblGrid>
      <w:tr w14:paraId="19973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2270F6CA">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序号</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2FC6C362">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产品名称</w:t>
            </w:r>
          </w:p>
        </w:tc>
        <w:tc>
          <w:tcPr>
            <w:tcW w:w="2260" w:type="dxa"/>
            <w:tcBorders>
              <w:top w:val="single" w:color="auto" w:sz="4" w:space="0"/>
              <w:left w:val="single" w:color="auto" w:sz="4" w:space="0"/>
              <w:bottom w:val="single" w:color="auto" w:sz="4" w:space="0"/>
              <w:right w:val="single" w:color="auto" w:sz="4" w:space="0"/>
            </w:tcBorders>
            <w:noWrap w:val="0"/>
            <w:vAlign w:val="center"/>
          </w:tcPr>
          <w:p w14:paraId="40982D7C">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第1组数量</w:t>
            </w:r>
          </w:p>
        </w:tc>
        <w:tc>
          <w:tcPr>
            <w:tcW w:w="2402" w:type="dxa"/>
            <w:tcBorders>
              <w:top w:val="single" w:color="auto" w:sz="4" w:space="0"/>
              <w:left w:val="single" w:color="auto" w:sz="4" w:space="0"/>
              <w:bottom w:val="single" w:color="auto" w:sz="4" w:space="0"/>
              <w:right w:val="single" w:color="auto" w:sz="4" w:space="0"/>
            </w:tcBorders>
            <w:noWrap w:val="0"/>
            <w:vAlign w:val="center"/>
          </w:tcPr>
          <w:p w14:paraId="7692B12B">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第2组数量</w:t>
            </w:r>
          </w:p>
        </w:tc>
      </w:tr>
      <w:tr w14:paraId="1ECBF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1196E616">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6315AB45">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户外燃气燃烧器具</w:t>
            </w:r>
          </w:p>
        </w:tc>
        <w:tc>
          <w:tcPr>
            <w:tcW w:w="2260" w:type="dxa"/>
            <w:tcBorders>
              <w:top w:val="single" w:color="auto" w:sz="4" w:space="0"/>
              <w:left w:val="single" w:color="auto" w:sz="4" w:space="0"/>
              <w:bottom w:val="single" w:color="auto" w:sz="4" w:space="0"/>
              <w:right w:val="single" w:color="auto" w:sz="4" w:space="0"/>
            </w:tcBorders>
            <w:noWrap w:val="0"/>
            <w:vAlign w:val="center"/>
          </w:tcPr>
          <w:p w14:paraId="4719F698">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2台</w:t>
            </w:r>
          </w:p>
        </w:tc>
        <w:tc>
          <w:tcPr>
            <w:tcW w:w="2402" w:type="dxa"/>
            <w:tcBorders>
              <w:top w:val="single" w:color="auto" w:sz="4" w:space="0"/>
              <w:left w:val="single" w:color="auto" w:sz="4" w:space="0"/>
              <w:bottom w:val="single" w:color="auto" w:sz="4" w:space="0"/>
              <w:right w:val="single" w:color="auto" w:sz="4" w:space="0"/>
            </w:tcBorders>
            <w:noWrap w:val="0"/>
            <w:vAlign w:val="center"/>
          </w:tcPr>
          <w:p w14:paraId="78086ADB">
            <w:pPr>
              <w:adjustRightInd/>
              <w:snapToGrid/>
              <w:spacing w:line="560" w:lineRule="exact"/>
              <w:jc w:val="center"/>
              <w:rPr>
                <w:rFonts w:hint="default" w:ascii="Times New Roman" w:hAnsi="Times New Roman" w:eastAsia="仿宋_GB2312" w:cs="Times New Roman"/>
                <w:bCs/>
                <w:color w:val="000000"/>
                <w:sz w:val="32"/>
                <w:szCs w:val="32"/>
              </w:rPr>
            </w:pPr>
            <w:r>
              <w:rPr>
                <w:rFonts w:hint="default" w:ascii="Times New Roman" w:hAnsi="Times New Roman" w:eastAsia="仿宋_GB2312" w:cs="Times New Roman"/>
                <w:bCs/>
                <w:color w:val="000000"/>
                <w:sz w:val="32"/>
                <w:szCs w:val="32"/>
              </w:rPr>
              <w:t>1台</w:t>
            </w:r>
          </w:p>
        </w:tc>
      </w:tr>
    </w:tbl>
    <w:p w14:paraId="013480A4">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检验依据</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1978"/>
        <w:gridCol w:w="3367"/>
        <w:gridCol w:w="2950"/>
      </w:tblGrid>
      <w:tr w14:paraId="07CCD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blHeader/>
          <w:jc w:val="center"/>
        </w:trPr>
        <w:tc>
          <w:tcPr>
            <w:tcW w:w="872" w:type="dxa"/>
            <w:noWrap w:val="0"/>
            <w:vAlign w:val="center"/>
          </w:tcPr>
          <w:p w14:paraId="53C752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序号</w:t>
            </w:r>
          </w:p>
        </w:tc>
        <w:tc>
          <w:tcPr>
            <w:tcW w:w="5345" w:type="dxa"/>
            <w:gridSpan w:val="2"/>
            <w:noWrap w:val="0"/>
            <w:vAlign w:val="center"/>
          </w:tcPr>
          <w:p w14:paraId="4E9A43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检验项目</w:t>
            </w:r>
          </w:p>
        </w:tc>
        <w:tc>
          <w:tcPr>
            <w:tcW w:w="2950" w:type="dxa"/>
            <w:noWrap w:val="0"/>
            <w:vAlign w:val="center"/>
          </w:tcPr>
          <w:p w14:paraId="2A2320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检验方法</w:t>
            </w:r>
          </w:p>
        </w:tc>
      </w:tr>
      <w:tr w14:paraId="05817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660203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p>
        </w:tc>
        <w:tc>
          <w:tcPr>
            <w:tcW w:w="5345" w:type="dxa"/>
            <w:gridSpan w:val="2"/>
            <w:noWrap w:val="0"/>
            <w:vAlign w:val="center"/>
          </w:tcPr>
          <w:p w14:paraId="3F0917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燃气系统气密性</w:t>
            </w:r>
          </w:p>
        </w:tc>
        <w:tc>
          <w:tcPr>
            <w:tcW w:w="2950" w:type="dxa"/>
            <w:noWrap w:val="0"/>
            <w:vAlign w:val="center"/>
          </w:tcPr>
          <w:p w14:paraId="50B0F9C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484CC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7F9E91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p>
        </w:tc>
        <w:tc>
          <w:tcPr>
            <w:tcW w:w="5345" w:type="dxa"/>
            <w:gridSpan w:val="2"/>
            <w:noWrap w:val="0"/>
            <w:vAlign w:val="center"/>
          </w:tcPr>
          <w:p w14:paraId="0CEAB8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热负荷准确度</w:t>
            </w:r>
          </w:p>
        </w:tc>
        <w:tc>
          <w:tcPr>
            <w:tcW w:w="2950" w:type="dxa"/>
            <w:noWrap w:val="0"/>
            <w:vAlign w:val="center"/>
          </w:tcPr>
          <w:p w14:paraId="5AFEDC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3CAB6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21B039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p>
        </w:tc>
        <w:tc>
          <w:tcPr>
            <w:tcW w:w="5345" w:type="dxa"/>
            <w:gridSpan w:val="2"/>
            <w:noWrap w:val="0"/>
            <w:vAlign w:val="center"/>
          </w:tcPr>
          <w:p w14:paraId="25E3C7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燃烧工况</w:t>
            </w:r>
          </w:p>
        </w:tc>
        <w:tc>
          <w:tcPr>
            <w:tcW w:w="2950" w:type="dxa"/>
            <w:noWrap w:val="0"/>
            <w:vAlign w:val="center"/>
          </w:tcPr>
          <w:p w14:paraId="6F2E48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05C65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6BB80E2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p>
        </w:tc>
        <w:tc>
          <w:tcPr>
            <w:tcW w:w="5345" w:type="dxa"/>
            <w:gridSpan w:val="2"/>
            <w:noWrap w:val="0"/>
            <w:vAlign w:val="center"/>
          </w:tcPr>
          <w:p w14:paraId="2842E46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熄火保护装置性能</w:t>
            </w:r>
          </w:p>
        </w:tc>
        <w:tc>
          <w:tcPr>
            <w:tcW w:w="2950" w:type="dxa"/>
            <w:noWrap w:val="0"/>
            <w:vAlign w:val="center"/>
          </w:tcPr>
          <w:p w14:paraId="6A3521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7DED3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708DCC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p>
        </w:tc>
        <w:tc>
          <w:tcPr>
            <w:tcW w:w="5345" w:type="dxa"/>
            <w:gridSpan w:val="2"/>
            <w:noWrap w:val="0"/>
            <w:vAlign w:val="center"/>
          </w:tcPr>
          <w:p w14:paraId="16151C5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点火器性能</w:t>
            </w:r>
          </w:p>
        </w:tc>
        <w:tc>
          <w:tcPr>
            <w:tcW w:w="2950" w:type="dxa"/>
            <w:noWrap w:val="0"/>
            <w:vAlign w:val="center"/>
          </w:tcPr>
          <w:p w14:paraId="68214F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52109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546B6E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tc>
        <w:tc>
          <w:tcPr>
            <w:tcW w:w="5345" w:type="dxa"/>
            <w:gridSpan w:val="2"/>
            <w:noWrap w:val="0"/>
            <w:vAlign w:val="center"/>
          </w:tcPr>
          <w:p w14:paraId="7D9460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eastAsia="zh-CN"/>
              </w:rPr>
              <w:t>压力</w:t>
            </w:r>
            <w:r>
              <w:rPr>
                <w:rFonts w:hint="default" w:ascii="Times New Roman" w:hAnsi="Times New Roman" w:eastAsia="仿宋_GB2312" w:cs="Times New Roman"/>
                <w:bCs/>
                <w:sz w:val="32"/>
                <w:szCs w:val="32"/>
                <w:lang w:val="en-US" w:eastAsia="zh-CN"/>
              </w:rPr>
              <w:t>/流量安全该装置</w:t>
            </w:r>
          </w:p>
        </w:tc>
        <w:tc>
          <w:tcPr>
            <w:tcW w:w="2950" w:type="dxa"/>
            <w:tcBorders>
              <w:right w:val="single" w:color="auto" w:sz="4" w:space="0"/>
            </w:tcBorders>
            <w:noWrap w:val="0"/>
            <w:vAlign w:val="center"/>
          </w:tcPr>
          <w:p w14:paraId="039E72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351B3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187371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p>
        </w:tc>
        <w:tc>
          <w:tcPr>
            <w:tcW w:w="5345" w:type="dxa"/>
            <w:gridSpan w:val="2"/>
            <w:noWrap w:val="0"/>
            <w:vAlign w:val="center"/>
          </w:tcPr>
          <w:p w14:paraId="534798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表面温升</w:t>
            </w:r>
          </w:p>
        </w:tc>
        <w:tc>
          <w:tcPr>
            <w:tcW w:w="2950" w:type="dxa"/>
            <w:tcBorders>
              <w:right w:val="single" w:color="auto" w:sz="4" w:space="0"/>
            </w:tcBorders>
            <w:noWrap w:val="0"/>
            <w:vAlign w:val="center"/>
          </w:tcPr>
          <w:p w14:paraId="4708DCD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1B679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12D7D4B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p>
        </w:tc>
        <w:tc>
          <w:tcPr>
            <w:tcW w:w="5345" w:type="dxa"/>
            <w:gridSpan w:val="2"/>
            <w:noWrap w:val="0"/>
            <w:vAlign w:val="center"/>
          </w:tcPr>
          <w:p w14:paraId="374980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抗风性能</w:t>
            </w:r>
          </w:p>
        </w:tc>
        <w:tc>
          <w:tcPr>
            <w:tcW w:w="2950" w:type="dxa"/>
            <w:tcBorders>
              <w:right w:val="single" w:color="auto" w:sz="4" w:space="0"/>
            </w:tcBorders>
            <w:noWrap w:val="0"/>
            <w:vAlign w:val="center"/>
          </w:tcPr>
          <w:p w14:paraId="3F85A9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1CB0F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2F4CD8F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p>
        </w:tc>
        <w:tc>
          <w:tcPr>
            <w:tcW w:w="5345" w:type="dxa"/>
            <w:gridSpan w:val="2"/>
            <w:noWrap w:val="0"/>
            <w:vAlign w:val="center"/>
          </w:tcPr>
          <w:p w14:paraId="4D331B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耐盐雾性能</w:t>
            </w:r>
          </w:p>
        </w:tc>
        <w:tc>
          <w:tcPr>
            <w:tcW w:w="2950" w:type="dxa"/>
            <w:tcBorders>
              <w:right w:val="single" w:color="auto" w:sz="4" w:space="0"/>
            </w:tcBorders>
            <w:noWrap w:val="0"/>
            <w:vAlign w:val="center"/>
          </w:tcPr>
          <w:p w14:paraId="04079A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455F2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1B2E9B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w:t>
            </w:r>
          </w:p>
        </w:tc>
        <w:tc>
          <w:tcPr>
            <w:tcW w:w="5345" w:type="dxa"/>
            <w:gridSpan w:val="2"/>
            <w:noWrap w:val="0"/>
            <w:vAlign w:val="center"/>
          </w:tcPr>
          <w:p w14:paraId="283EA6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耐极限温度</w:t>
            </w:r>
          </w:p>
        </w:tc>
        <w:tc>
          <w:tcPr>
            <w:tcW w:w="2950" w:type="dxa"/>
            <w:tcBorders>
              <w:right w:val="single" w:color="auto" w:sz="4" w:space="0"/>
            </w:tcBorders>
            <w:noWrap w:val="0"/>
            <w:vAlign w:val="center"/>
          </w:tcPr>
          <w:p w14:paraId="109EEA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4C84C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5799EC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w:t>
            </w:r>
          </w:p>
        </w:tc>
        <w:tc>
          <w:tcPr>
            <w:tcW w:w="1978" w:type="dxa"/>
            <w:vMerge w:val="restart"/>
            <w:noWrap w:val="0"/>
            <w:vAlign w:val="center"/>
          </w:tcPr>
          <w:p w14:paraId="3E36A1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小气瓶燃具的特殊要求</w:t>
            </w:r>
          </w:p>
        </w:tc>
        <w:tc>
          <w:tcPr>
            <w:tcW w:w="3367" w:type="dxa"/>
            <w:noWrap w:val="0"/>
            <w:vAlign w:val="center"/>
          </w:tcPr>
          <w:p w14:paraId="13CE289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气密性</w:t>
            </w:r>
          </w:p>
        </w:tc>
        <w:tc>
          <w:tcPr>
            <w:tcW w:w="2950" w:type="dxa"/>
            <w:tcBorders>
              <w:right w:val="single" w:color="auto" w:sz="4" w:space="0"/>
            </w:tcBorders>
            <w:noWrap w:val="0"/>
            <w:vAlign w:val="center"/>
          </w:tcPr>
          <w:p w14:paraId="66FF2E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47A67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025290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w:t>
            </w:r>
          </w:p>
        </w:tc>
        <w:tc>
          <w:tcPr>
            <w:tcW w:w="1978" w:type="dxa"/>
            <w:vMerge w:val="continue"/>
            <w:noWrap w:val="0"/>
            <w:vAlign w:val="center"/>
          </w:tcPr>
          <w:p w14:paraId="0FC2C4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p>
        </w:tc>
        <w:tc>
          <w:tcPr>
            <w:tcW w:w="3367" w:type="dxa"/>
            <w:noWrap w:val="0"/>
            <w:vAlign w:val="center"/>
          </w:tcPr>
          <w:p w14:paraId="508F012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耗气量准确度</w:t>
            </w:r>
          </w:p>
        </w:tc>
        <w:tc>
          <w:tcPr>
            <w:tcW w:w="2950" w:type="dxa"/>
            <w:tcBorders>
              <w:right w:val="single" w:color="auto" w:sz="4" w:space="0"/>
            </w:tcBorders>
            <w:noWrap w:val="0"/>
            <w:vAlign w:val="center"/>
          </w:tcPr>
          <w:p w14:paraId="4A188F8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5AEDA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32B62E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w:t>
            </w:r>
          </w:p>
        </w:tc>
        <w:tc>
          <w:tcPr>
            <w:tcW w:w="1978" w:type="dxa"/>
            <w:vMerge w:val="continue"/>
            <w:noWrap w:val="0"/>
            <w:vAlign w:val="center"/>
          </w:tcPr>
          <w:p w14:paraId="44D9659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p>
        </w:tc>
        <w:tc>
          <w:tcPr>
            <w:tcW w:w="3367" w:type="dxa"/>
            <w:noWrap w:val="0"/>
            <w:vAlign w:val="center"/>
          </w:tcPr>
          <w:p w14:paraId="35F399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过压切断装置</w:t>
            </w:r>
          </w:p>
        </w:tc>
        <w:tc>
          <w:tcPr>
            <w:tcW w:w="2950" w:type="dxa"/>
            <w:tcBorders>
              <w:right w:val="single" w:color="auto" w:sz="4" w:space="0"/>
            </w:tcBorders>
            <w:noWrap w:val="0"/>
            <w:vAlign w:val="center"/>
          </w:tcPr>
          <w:p w14:paraId="0DE459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2B161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72" w:type="dxa"/>
            <w:noWrap w:val="0"/>
            <w:vAlign w:val="center"/>
          </w:tcPr>
          <w:p w14:paraId="468AA1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14</w:t>
            </w:r>
          </w:p>
        </w:tc>
        <w:tc>
          <w:tcPr>
            <w:tcW w:w="1978" w:type="dxa"/>
            <w:vMerge w:val="continue"/>
            <w:noWrap w:val="0"/>
            <w:vAlign w:val="center"/>
          </w:tcPr>
          <w:p w14:paraId="2A2BCD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p>
        </w:tc>
        <w:tc>
          <w:tcPr>
            <w:tcW w:w="3367" w:type="dxa"/>
            <w:noWrap w:val="0"/>
            <w:vAlign w:val="center"/>
          </w:tcPr>
          <w:p w14:paraId="7A16FBE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跌落</w:t>
            </w:r>
          </w:p>
        </w:tc>
        <w:tc>
          <w:tcPr>
            <w:tcW w:w="2950" w:type="dxa"/>
            <w:tcBorders>
              <w:right w:val="single" w:color="auto" w:sz="4" w:space="0"/>
            </w:tcBorders>
            <w:noWrap w:val="0"/>
            <w:vAlign w:val="center"/>
          </w:tcPr>
          <w:p w14:paraId="286FBA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p>
        </w:tc>
      </w:tr>
      <w:tr w14:paraId="3656A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jc w:val="center"/>
        </w:trPr>
        <w:tc>
          <w:tcPr>
            <w:tcW w:w="9167" w:type="dxa"/>
            <w:gridSpan w:val="4"/>
            <w:tcBorders>
              <w:right w:val="single" w:color="auto" w:sz="4" w:space="0"/>
            </w:tcBorders>
            <w:noWrap w:val="0"/>
            <w:vAlign w:val="center"/>
          </w:tcPr>
          <w:p w14:paraId="49A976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注：</w:t>
            </w:r>
            <w:r>
              <w:rPr>
                <w:rFonts w:hint="default" w:ascii="Times New Roman" w:hAnsi="Times New Roman" w:eastAsia="仿宋_GB2312" w:cs="Times New Roman"/>
                <w:sz w:val="32"/>
                <w:szCs w:val="32"/>
                <w:lang w:eastAsia="zh-CN"/>
              </w:rPr>
              <w:t>表面温升</w:t>
            </w:r>
            <w:r>
              <w:rPr>
                <w:rFonts w:hint="default" w:ascii="Times New Roman" w:hAnsi="Times New Roman" w:eastAsia="仿宋_GB2312" w:cs="Times New Roman"/>
                <w:bCs/>
                <w:sz w:val="32"/>
                <w:szCs w:val="32"/>
              </w:rPr>
              <w:t>的检验项目为</w:t>
            </w: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38522</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bCs/>
                <w:sz w:val="32"/>
                <w:szCs w:val="32"/>
                <w:lang w:val="en-US" w:eastAsia="zh-CN"/>
              </w:rPr>
              <w:t>6.1.13中的正常使用过程中需接触部位（旋钮、手柄等）的表面、主要零部件温升（燃气阀门外壳的表面）、小气瓶燃具气瓶底部。</w:t>
            </w:r>
          </w:p>
        </w:tc>
      </w:tr>
    </w:tbl>
    <w:p w14:paraId="1FFD07F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执行企业标准、团体标准、地方标准的产品，检验项目参照上述内容执行。</w:t>
      </w:r>
    </w:p>
    <w:p w14:paraId="5C8750E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凡是注日期的文件，其随后所有的修改单（不包括勘误的内容）或修订版不适用于本细则。凡是不注日期的文件，其最新版本适用于本细则。</w:t>
      </w:r>
    </w:p>
    <w:p w14:paraId="2749B13B">
      <w:pPr>
        <w:pStyle w:val="9"/>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eastAsia="zh-CN"/>
        </w:rPr>
      </w:pPr>
      <w:r>
        <w:rPr>
          <w:rFonts w:hint="default" w:ascii="Times New Roman" w:hAnsi="Times New Roman" w:cs="Times New Roman"/>
          <w:sz w:val="32"/>
          <w:szCs w:val="32"/>
          <w:lang w:eastAsia="zh-CN"/>
        </w:rPr>
        <w:t>三、</w:t>
      </w:r>
      <w:r>
        <w:rPr>
          <w:rFonts w:hint="default" w:ascii="Times New Roman" w:hAnsi="Times New Roman" w:eastAsia="黑体" w:cs="Times New Roman"/>
          <w:sz w:val="32"/>
          <w:szCs w:val="32"/>
          <w:lang w:eastAsia="zh-CN"/>
        </w:rPr>
        <w:t>判定规则</w:t>
      </w:r>
    </w:p>
    <w:p w14:paraId="1076C21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color w:val="000000"/>
          <w:sz w:val="32"/>
          <w:szCs w:val="32"/>
        </w:rPr>
        <w:t>依据标准</w:t>
      </w:r>
    </w:p>
    <w:p w14:paraId="0098C58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GB/T 38522—2020《</w:t>
      </w:r>
      <w:r>
        <w:rPr>
          <w:rFonts w:hint="default" w:ascii="Times New Roman" w:hAnsi="Times New Roman" w:eastAsia="仿宋_GB2312" w:cs="Times New Roman"/>
          <w:sz w:val="32"/>
          <w:szCs w:val="32"/>
          <w:lang w:eastAsia="zh-CN"/>
        </w:rPr>
        <w:t>户外燃气燃烧器具》</w:t>
      </w:r>
    </w:p>
    <w:p w14:paraId="6EEBB899">
      <w:pPr>
        <w:keepNext w:val="0"/>
        <w:keepLines w:val="0"/>
        <w:pageBreakBefore w:val="0"/>
        <w:widowControl w:val="0"/>
        <w:kinsoku/>
        <w:wordWrap/>
        <w:overflowPunct/>
        <w:topLinePunct w:val="0"/>
        <w:autoSpaceDE/>
        <w:autoSpaceDN/>
        <w:bidi w:val="0"/>
        <w:adjustRightInd/>
        <w:snapToGrid/>
        <w:spacing w:line="560" w:lineRule="exact"/>
        <w:ind w:firstLine="588" w:firstLineChars="20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pacing w:val="-11"/>
          <w:sz w:val="32"/>
          <w:szCs w:val="32"/>
        </w:rPr>
        <w:t>现行有效的企业标准、团体标准、地方标准及产品明示质量</w:t>
      </w:r>
      <w:r>
        <w:rPr>
          <w:rFonts w:hint="default" w:ascii="Times New Roman" w:hAnsi="Times New Roman" w:eastAsia="仿宋_GB2312" w:cs="Times New Roman"/>
          <w:color w:val="000000"/>
          <w:sz w:val="32"/>
          <w:szCs w:val="32"/>
        </w:rPr>
        <w:t>要求</w:t>
      </w:r>
      <w:r>
        <w:rPr>
          <w:rFonts w:hint="default" w:ascii="Times New Roman" w:hAnsi="Times New Roman" w:eastAsia="仿宋_GB2312" w:cs="Times New Roman"/>
          <w:color w:val="000000"/>
          <w:sz w:val="32"/>
          <w:szCs w:val="32"/>
          <w:lang w:val="en-US" w:eastAsia="zh-CN"/>
        </w:rPr>
        <w:t>。</w:t>
      </w:r>
    </w:p>
    <w:p w14:paraId="692862DC">
      <w:pPr>
        <w:keepNext w:val="0"/>
        <w:keepLines w:val="0"/>
        <w:pageBreakBefore w:val="0"/>
        <w:widowControl w:val="0"/>
        <w:kinsoku/>
        <w:wordWrap/>
        <w:overflowPunct/>
        <w:topLinePunct w:val="0"/>
        <w:autoSpaceDE/>
        <w:autoSpaceDN/>
        <w:bidi w:val="0"/>
        <w:adjustRightInd/>
        <w:snapToGrid/>
        <w:spacing w:line="560" w:lineRule="exact"/>
        <w:ind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判定原则</w:t>
      </w:r>
    </w:p>
    <w:p w14:paraId="1244401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经检验，检验项目全部合格，判定为被抽查产品所检项目未发现不合格；检验项目中任一项或一项以上不合格，判定为被抽查产品不合格。</w:t>
      </w:r>
    </w:p>
    <w:p w14:paraId="7029811C">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若被检产品明示的质量要求高于本细则中检验项目依据的标准要求时，应按被检产品明示的质量要求判定。</w:t>
      </w:r>
    </w:p>
    <w:p w14:paraId="0B0D7167">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若被检产品明示的质量要求低于本细则中检验项目依据的强制性标准要求时，应按照强制性标准要求判定。</w:t>
      </w:r>
    </w:p>
    <w:p w14:paraId="75F38DBE">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若被检产品明示的质量要求低于或包含本细则中检验项目依据的推荐性标准要求时，应以被检产品明示的质量要求判定。</w:t>
      </w:r>
    </w:p>
    <w:p w14:paraId="77E5844B">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若被检产品明示的质量要求缺少本细则中检验项目依据的强制性标准要求时，应按照强制性标准要求判定。</w:t>
      </w:r>
    </w:p>
    <w:p w14:paraId="0D6C2D10">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若被检产品明示的质量要求缺少本细则中检验项目依据的推荐性标准要求时，该项目不参与判定</w:t>
      </w:r>
      <w:r>
        <w:rPr>
          <w:rFonts w:hint="default" w:ascii="Times New Roman" w:hAnsi="Times New Roman" w:eastAsia="仿宋_GB2312" w:cs="Times New Roman"/>
          <w:color w:val="000000"/>
          <w:sz w:val="32"/>
          <w:szCs w:val="32"/>
          <w:lang w:eastAsia="zh-CN"/>
        </w:rPr>
        <w:t>。</w:t>
      </w:r>
    </w:p>
    <w:p w14:paraId="66424B0B">
      <w:pPr>
        <w:pStyle w:val="2"/>
        <w:rPr>
          <w:rFonts w:hint="default" w:ascii="Times New Roman" w:hAnsi="Times New Roman" w:eastAsia="仿宋_GB2312" w:cs="Times New Roman"/>
          <w:color w:val="000000"/>
          <w:sz w:val="32"/>
          <w:szCs w:val="32"/>
          <w:lang w:eastAsia="zh-CN"/>
        </w:rPr>
      </w:pPr>
    </w:p>
    <w:p w14:paraId="3C418F79">
      <w:pPr>
        <w:pStyle w:val="2"/>
        <w:rPr>
          <w:rFonts w:hint="default" w:ascii="Times New Roman" w:hAnsi="Times New Roman" w:eastAsia="仿宋_GB2312" w:cs="Times New Roman"/>
          <w:color w:val="000000"/>
          <w:sz w:val="32"/>
          <w:szCs w:val="32"/>
          <w:lang w:eastAsia="zh-CN"/>
        </w:rPr>
      </w:pPr>
    </w:p>
    <w:p w14:paraId="6BC9E964">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rPr>
        <w:sectPr>
          <w:pgSz w:w="11905" w:h="16838"/>
          <w:pgMar w:top="1701" w:right="1474" w:bottom="1474" w:left="1587" w:header="851" w:footer="1191" w:gutter="0"/>
          <w:pgBorders>
            <w:top w:val="none" w:sz="0" w:space="0"/>
            <w:left w:val="none" w:sz="0" w:space="0"/>
            <w:bottom w:val="none" w:sz="0" w:space="0"/>
            <w:right w:val="none" w:sz="0" w:space="0"/>
          </w:pgBorders>
          <w:pgNumType w:fmt="decimal"/>
          <w:cols w:space="720" w:num="1"/>
          <w:rtlGutter w:val="0"/>
          <w:docGrid w:type="linesAndChars" w:linePitch="621" w:charSpace="-849"/>
        </w:sectPr>
      </w:pPr>
    </w:p>
    <w:p w14:paraId="63171401">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r>
        <w:rPr>
          <w:rFonts w:hint="default" w:ascii="Times New Roman" w:hAnsi="Times New Roman" w:eastAsia="黑体" w:cs="Times New Roman"/>
          <w:bCs/>
          <w:color w:val="auto"/>
          <w:spacing w:val="-6"/>
          <w:sz w:val="32"/>
          <w:szCs w:val="32"/>
        </w:rPr>
        <w:t>附件</w:t>
      </w:r>
      <w:r>
        <w:rPr>
          <w:rFonts w:hint="default" w:ascii="Times New Roman" w:hAnsi="Times New Roman" w:eastAsia="黑体" w:cs="Times New Roman"/>
          <w:bCs/>
          <w:color w:val="auto"/>
          <w:spacing w:val="-6"/>
          <w:sz w:val="32"/>
          <w:szCs w:val="32"/>
          <w:lang w:val="en-US" w:eastAsia="zh-CN"/>
        </w:rPr>
        <w:t>3</w:t>
      </w:r>
    </w:p>
    <w:p w14:paraId="41027F6A">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color w:val="auto"/>
          <w:spacing w:val="-6"/>
          <w:position w:val="1"/>
          <w:sz w:val="32"/>
          <w:szCs w:val="32"/>
        </w:rPr>
      </w:pPr>
    </w:p>
    <w:p w14:paraId="20AA3D09">
      <w:pPr>
        <w:keepNext w:val="0"/>
        <w:keepLines w:val="0"/>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广东省</w:t>
      </w:r>
      <w:r>
        <w:rPr>
          <w:rFonts w:hint="default" w:ascii="Times New Roman" w:hAnsi="Times New Roman" w:eastAsia="方正小标宋简体" w:cs="Times New Roman"/>
          <w:bCs/>
          <w:sz w:val="44"/>
          <w:szCs w:val="44"/>
          <w:lang w:val="en-US" w:eastAsia="zh-CN"/>
        </w:rPr>
        <w:t>灭蚊器</w:t>
      </w:r>
      <w:r>
        <w:rPr>
          <w:rFonts w:hint="default" w:ascii="Times New Roman" w:hAnsi="Times New Roman" w:eastAsia="方正小标宋简体" w:cs="Times New Roman"/>
          <w:bCs/>
          <w:sz w:val="44"/>
          <w:szCs w:val="44"/>
        </w:rPr>
        <w:t>产品质量监督抽查实施细则</w:t>
      </w:r>
    </w:p>
    <w:p w14:paraId="05EEF57C">
      <w:pPr>
        <w:bidi w:val="0"/>
        <w:adjustRightInd/>
        <w:snapToGrid/>
        <w:spacing w:line="560" w:lineRule="exact"/>
        <w:jc w:val="center"/>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（2024年版）</w:t>
      </w:r>
    </w:p>
    <w:p w14:paraId="3F74B56F">
      <w:pPr>
        <w:pStyle w:val="2"/>
        <w:rPr>
          <w:rFonts w:hint="default" w:ascii="Times New Roman" w:hAnsi="Times New Roman" w:eastAsia="仿宋_GB2312" w:cs="Times New Roman"/>
          <w:color w:val="000000"/>
          <w:sz w:val="32"/>
          <w:szCs w:val="32"/>
          <w:lang w:eastAsia="zh-CN"/>
        </w:rPr>
      </w:pPr>
    </w:p>
    <w:p w14:paraId="67E9917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lang w:eastAsia="zh-CN"/>
        </w:rPr>
        <w:t>抽样方法</w:t>
      </w:r>
    </w:p>
    <w:p w14:paraId="3CB343E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以随机抽样的方式在被抽查市场主体的待销产品中抽取。</w:t>
      </w:r>
    </w:p>
    <w:p w14:paraId="6738D51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随机数一般可使用随机数表等方法产生。</w:t>
      </w:r>
    </w:p>
    <w:p w14:paraId="3F2AE23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每批次产品抽取样品3台，其中2台作为检验样品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1台作为备用样品。</w:t>
      </w:r>
    </w:p>
    <w:p w14:paraId="304AABE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eastAsia" w:ascii="Times New Roman" w:hAnsi="Times New Roman" w:eastAsia="黑体" w:cs="Times New Roman"/>
          <w:sz w:val="32"/>
          <w:szCs w:val="32"/>
          <w:lang w:eastAsia="zh-CN"/>
        </w:rPr>
        <w:t>二、</w:t>
      </w:r>
      <w:r>
        <w:rPr>
          <w:rFonts w:hint="default" w:ascii="Times New Roman" w:hAnsi="Times New Roman" w:eastAsia="黑体" w:cs="Times New Roman"/>
          <w:sz w:val="32"/>
          <w:szCs w:val="32"/>
          <w:lang w:eastAsia="zh-CN"/>
        </w:rPr>
        <w:t>检验依据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4610"/>
        <w:gridCol w:w="3591"/>
      </w:tblGrid>
      <w:tr w14:paraId="78FDF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jc w:val="center"/>
        </w:trPr>
        <w:tc>
          <w:tcPr>
            <w:tcW w:w="966" w:type="dxa"/>
            <w:noWrap w:val="0"/>
            <w:vAlign w:val="center"/>
          </w:tcPr>
          <w:p w14:paraId="4646C3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序号</w:t>
            </w:r>
          </w:p>
        </w:tc>
        <w:tc>
          <w:tcPr>
            <w:tcW w:w="4610" w:type="dxa"/>
            <w:noWrap w:val="0"/>
            <w:vAlign w:val="center"/>
          </w:tcPr>
          <w:p w14:paraId="108555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检验项目</w:t>
            </w:r>
          </w:p>
        </w:tc>
        <w:tc>
          <w:tcPr>
            <w:tcW w:w="3591" w:type="dxa"/>
            <w:noWrap w:val="0"/>
            <w:vAlign w:val="center"/>
          </w:tcPr>
          <w:p w14:paraId="4344674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检验方法</w:t>
            </w:r>
          </w:p>
        </w:tc>
      </w:tr>
      <w:tr w14:paraId="3F1A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78E5AC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p>
        </w:tc>
        <w:tc>
          <w:tcPr>
            <w:tcW w:w="4610" w:type="dxa"/>
            <w:noWrap w:val="0"/>
            <w:vAlign w:val="center"/>
          </w:tcPr>
          <w:p w14:paraId="2D4F15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对触及带电部件的防护</w:t>
            </w:r>
          </w:p>
        </w:tc>
        <w:tc>
          <w:tcPr>
            <w:tcW w:w="3591" w:type="dxa"/>
            <w:noWrap w:val="0"/>
            <w:vAlign w:val="center"/>
          </w:tcPr>
          <w:p w14:paraId="0B35634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1EAA29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4706.76—2008</w:t>
            </w:r>
          </w:p>
        </w:tc>
      </w:tr>
      <w:tr w14:paraId="17ADA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565C95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p>
        </w:tc>
        <w:tc>
          <w:tcPr>
            <w:tcW w:w="4610" w:type="dxa"/>
            <w:noWrap w:val="0"/>
            <w:vAlign w:val="center"/>
          </w:tcPr>
          <w:p w14:paraId="26928D7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输入功率和电流</w:t>
            </w:r>
          </w:p>
        </w:tc>
        <w:tc>
          <w:tcPr>
            <w:tcW w:w="3591" w:type="dxa"/>
            <w:noWrap w:val="0"/>
            <w:vAlign w:val="center"/>
          </w:tcPr>
          <w:p w14:paraId="3F67C0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043A39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4706.76—2008</w:t>
            </w:r>
          </w:p>
        </w:tc>
      </w:tr>
      <w:tr w14:paraId="65357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73B081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p>
        </w:tc>
        <w:tc>
          <w:tcPr>
            <w:tcW w:w="4610" w:type="dxa"/>
            <w:noWrap w:val="0"/>
            <w:vAlign w:val="center"/>
          </w:tcPr>
          <w:p w14:paraId="44DA91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工作温度下的泄漏电流和电气强度</w:t>
            </w:r>
          </w:p>
        </w:tc>
        <w:tc>
          <w:tcPr>
            <w:tcW w:w="3591" w:type="dxa"/>
            <w:noWrap w:val="0"/>
            <w:vAlign w:val="center"/>
          </w:tcPr>
          <w:p w14:paraId="4F7EE36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01F88B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74BF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06100B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p>
        </w:tc>
        <w:tc>
          <w:tcPr>
            <w:tcW w:w="4610" w:type="dxa"/>
            <w:noWrap w:val="0"/>
            <w:vAlign w:val="center"/>
          </w:tcPr>
          <w:p w14:paraId="1A5CA1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耐潮湿</w:t>
            </w:r>
          </w:p>
        </w:tc>
        <w:tc>
          <w:tcPr>
            <w:tcW w:w="3591" w:type="dxa"/>
            <w:noWrap w:val="0"/>
            <w:vAlign w:val="center"/>
          </w:tcPr>
          <w:p w14:paraId="083F79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1F9A559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2F767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5C2C79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p>
        </w:tc>
        <w:tc>
          <w:tcPr>
            <w:tcW w:w="4610" w:type="dxa"/>
            <w:noWrap w:val="0"/>
            <w:vAlign w:val="center"/>
          </w:tcPr>
          <w:p w14:paraId="0BD6D26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泄漏电流和电气强度</w:t>
            </w:r>
          </w:p>
        </w:tc>
        <w:tc>
          <w:tcPr>
            <w:tcW w:w="3591" w:type="dxa"/>
            <w:noWrap w:val="0"/>
            <w:vAlign w:val="center"/>
          </w:tcPr>
          <w:p w14:paraId="26CFFA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678769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4F007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2A112D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p>
        </w:tc>
        <w:tc>
          <w:tcPr>
            <w:tcW w:w="4610" w:type="dxa"/>
            <w:noWrap w:val="0"/>
            <w:vAlign w:val="center"/>
          </w:tcPr>
          <w:p w14:paraId="32A8ED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非正常工作（不包括第19.11.4条和B19.101试验）</w:t>
            </w:r>
          </w:p>
        </w:tc>
        <w:tc>
          <w:tcPr>
            <w:tcW w:w="3591" w:type="dxa"/>
            <w:noWrap w:val="0"/>
            <w:vAlign w:val="center"/>
          </w:tcPr>
          <w:p w14:paraId="319298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4A7E453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61BD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015341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p>
        </w:tc>
        <w:tc>
          <w:tcPr>
            <w:tcW w:w="4610" w:type="dxa"/>
            <w:noWrap w:val="0"/>
            <w:vAlign w:val="center"/>
          </w:tcPr>
          <w:p w14:paraId="5ED0D91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稳定性和机械危险</w:t>
            </w:r>
          </w:p>
        </w:tc>
        <w:tc>
          <w:tcPr>
            <w:tcW w:w="3591" w:type="dxa"/>
            <w:noWrap w:val="0"/>
            <w:vAlign w:val="center"/>
          </w:tcPr>
          <w:p w14:paraId="5974262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7B9B23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271F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355EB5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p>
        </w:tc>
        <w:tc>
          <w:tcPr>
            <w:tcW w:w="4610" w:type="dxa"/>
            <w:noWrap w:val="0"/>
            <w:vAlign w:val="center"/>
          </w:tcPr>
          <w:p w14:paraId="05B205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机械强度</w:t>
            </w:r>
          </w:p>
        </w:tc>
        <w:tc>
          <w:tcPr>
            <w:tcW w:w="3591" w:type="dxa"/>
            <w:noWrap w:val="0"/>
            <w:vAlign w:val="center"/>
          </w:tcPr>
          <w:p w14:paraId="1FA3084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0F74303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7998C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16174A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w:t>
            </w:r>
          </w:p>
        </w:tc>
        <w:tc>
          <w:tcPr>
            <w:tcW w:w="4610" w:type="dxa"/>
            <w:noWrap w:val="0"/>
            <w:vAlign w:val="center"/>
          </w:tcPr>
          <w:p w14:paraId="6CBC8D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结构(不包括第22.46条试验)</w:t>
            </w:r>
          </w:p>
        </w:tc>
        <w:tc>
          <w:tcPr>
            <w:tcW w:w="3591" w:type="dxa"/>
            <w:noWrap w:val="0"/>
            <w:vAlign w:val="center"/>
          </w:tcPr>
          <w:p w14:paraId="06E606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6F47BB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25EBD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2A4AF08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w:t>
            </w:r>
          </w:p>
        </w:tc>
        <w:tc>
          <w:tcPr>
            <w:tcW w:w="4610" w:type="dxa"/>
            <w:noWrap w:val="0"/>
            <w:vAlign w:val="center"/>
          </w:tcPr>
          <w:p w14:paraId="3EB9F2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内部布线(不包括第23.3条试验)</w:t>
            </w:r>
          </w:p>
        </w:tc>
        <w:tc>
          <w:tcPr>
            <w:tcW w:w="3591" w:type="dxa"/>
            <w:noWrap w:val="0"/>
            <w:vAlign w:val="center"/>
          </w:tcPr>
          <w:p w14:paraId="5848BD0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6F6D39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4DC88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44F35D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w:t>
            </w:r>
          </w:p>
        </w:tc>
        <w:tc>
          <w:tcPr>
            <w:tcW w:w="4610" w:type="dxa"/>
            <w:noWrap w:val="0"/>
            <w:vAlign w:val="center"/>
          </w:tcPr>
          <w:p w14:paraId="465FFA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电源连接和外部软线</w:t>
            </w:r>
          </w:p>
        </w:tc>
        <w:tc>
          <w:tcPr>
            <w:tcW w:w="3591" w:type="dxa"/>
            <w:noWrap w:val="0"/>
            <w:vAlign w:val="center"/>
          </w:tcPr>
          <w:p w14:paraId="3E01560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329EE2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66BE8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76533E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w:t>
            </w:r>
          </w:p>
        </w:tc>
        <w:tc>
          <w:tcPr>
            <w:tcW w:w="4610" w:type="dxa"/>
            <w:noWrap w:val="0"/>
            <w:vAlign w:val="center"/>
          </w:tcPr>
          <w:p w14:paraId="77FDFC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外部导线用接线端子</w:t>
            </w:r>
          </w:p>
        </w:tc>
        <w:tc>
          <w:tcPr>
            <w:tcW w:w="3591" w:type="dxa"/>
            <w:noWrap w:val="0"/>
            <w:vAlign w:val="center"/>
          </w:tcPr>
          <w:p w14:paraId="0894E4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797E32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390FD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324FE63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w:t>
            </w:r>
          </w:p>
        </w:tc>
        <w:tc>
          <w:tcPr>
            <w:tcW w:w="4610" w:type="dxa"/>
            <w:noWrap w:val="0"/>
            <w:vAlign w:val="center"/>
          </w:tcPr>
          <w:p w14:paraId="2142B8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接地措施</w:t>
            </w:r>
          </w:p>
        </w:tc>
        <w:tc>
          <w:tcPr>
            <w:tcW w:w="3591" w:type="dxa"/>
            <w:noWrap w:val="0"/>
            <w:vAlign w:val="center"/>
          </w:tcPr>
          <w:p w14:paraId="1EE4AF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403CDF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50013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6EEA6E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w:t>
            </w:r>
          </w:p>
        </w:tc>
        <w:tc>
          <w:tcPr>
            <w:tcW w:w="4610" w:type="dxa"/>
            <w:noWrap w:val="0"/>
            <w:vAlign w:val="center"/>
          </w:tcPr>
          <w:p w14:paraId="11AD55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螺钉和连接</w:t>
            </w:r>
          </w:p>
        </w:tc>
        <w:tc>
          <w:tcPr>
            <w:tcW w:w="3591" w:type="dxa"/>
            <w:noWrap w:val="0"/>
            <w:vAlign w:val="center"/>
          </w:tcPr>
          <w:p w14:paraId="020E97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14ED98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r w14:paraId="4ED14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6" w:type="dxa"/>
            <w:noWrap w:val="0"/>
            <w:vAlign w:val="center"/>
          </w:tcPr>
          <w:p w14:paraId="1BEBD3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w:t>
            </w:r>
          </w:p>
        </w:tc>
        <w:tc>
          <w:tcPr>
            <w:tcW w:w="4610" w:type="dxa"/>
            <w:noWrap w:val="0"/>
            <w:vAlign w:val="center"/>
          </w:tcPr>
          <w:p w14:paraId="50E3D32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电气间隙、爬电距离和固体绝缘</w:t>
            </w:r>
          </w:p>
        </w:tc>
        <w:tc>
          <w:tcPr>
            <w:tcW w:w="3591" w:type="dxa"/>
            <w:noWrap w:val="0"/>
            <w:vAlign w:val="center"/>
          </w:tcPr>
          <w:p w14:paraId="4B18A0B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p>
          <w:p w14:paraId="286D7E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GB 4706.76—2008</w:t>
            </w:r>
          </w:p>
        </w:tc>
      </w:tr>
    </w:tbl>
    <w:p w14:paraId="2E53B7C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执行企业标准、团体标准、地方标准的产品，检验项目参照上述内容执行。</w:t>
      </w:r>
    </w:p>
    <w:p w14:paraId="28303B8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凡是注日期的文件，其随后所有的修改单（不包括勘误的内容）或修订版不适用于本细则。凡是不注日期的文件，其最新版本适用于本细则。</w:t>
      </w:r>
    </w:p>
    <w:p w14:paraId="500948C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lang w:eastAsia="zh-CN"/>
        </w:rPr>
        <w:t>判定规则</w:t>
      </w:r>
    </w:p>
    <w:p w14:paraId="6ED6C5F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（一）</w:t>
      </w:r>
      <w:r>
        <w:rPr>
          <w:rFonts w:hint="default" w:ascii="Times New Roman" w:hAnsi="Times New Roman" w:eastAsia="楷体_GB2312" w:cs="Times New Roman"/>
          <w:sz w:val="32"/>
          <w:szCs w:val="32"/>
        </w:rPr>
        <w:t>依据标准</w:t>
      </w:r>
    </w:p>
    <w:p w14:paraId="1D7BE0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4706.1—2005《家用和类似用途电器的安全 第1部分：通用要求》</w:t>
      </w:r>
    </w:p>
    <w:p w14:paraId="7AED335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4706.76—2008《家用和类似用途电器的安全 灭虫器的特殊要求》</w:t>
      </w:r>
    </w:p>
    <w:p w14:paraId="0300A04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现行有效的企业标准、团体标准、地方标准及产品明示质量要求</w:t>
      </w:r>
      <w:r>
        <w:rPr>
          <w:rFonts w:hint="eastAsia" w:ascii="Times New Roman" w:hAnsi="Times New Roman" w:eastAsia="仿宋_GB2312" w:cs="Times New Roman"/>
          <w:sz w:val="32"/>
          <w:szCs w:val="32"/>
          <w:lang w:eastAsia="zh-CN"/>
        </w:rPr>
        <w:t>。</w:t>
      </w:r>
    </w:p>
    <w:p w14:paraId="5675FEC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（二）</w:t>
      </w:r>
      <w:r>
        <w:rPr>
          <w:rFonts w:hint="default" w:ascii="Times New Roman" w:hAnsi="Times New Roman" w:eastAsia="楷体_GB2312" w:cs="Times New Roman"/>
          <w:sz w:val="32"/>
          <w:szCs w:val="32"/>
        </w:rPr>
        <w:t>判定原则</w:t>
      </w:r>
    </w:p>
    <w:p w14:paraId="52C0660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14:paraId="06CB2C7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14:paraId="4E6FA79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14:paraId="7F8CE904">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14:paraId="606C9AA2">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14:paraId="3D396498">
      <w:pPr>
        <w:keepNext w:val="0"/>
        <w:keepLines w:val="0"/>
        <w:pageBreakBefore w:val="0"/>
        <w:widowControl w:val="0"/>
        <w:kinsoku/>
        <w:wordWrap/>
        <w:overflowPunct/>
        <w:topLinePunct w:val="0"/>
        <w:autoSpaceDE/>
        <w:autoSpaceDN/>
        <w:bidi w:val="0"/>
        <w:adjustRightInd/>
        <w:snapToGrid/>
        <w:spacing w:line="560" w:lineRule="exact"/>
        <w:ind w:firstLine="629" w:firstLineChars="199"/>
        <w:textAlignment w:val="auto"/>
        <w:rPr>
          <w:rFonts w:ascii="Times New Roman" w:hAnsi="Times New Roman" w:cs="Times New Roman"/>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p>
    <w:p w14:paraId="0A4C64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olor w:val="000000"/>
          <w:lang w:eastAsia="zh-CN"/>
        </w:rPr>
        <w:sectPr>
          <w:footerReference r:id="rId3" w:type="default"/>
          <w:pgSz w:w="11905" w:h="16838"/>
          <w:pgMar w:top="1701" w:right="1474" w:bottom="1474" w:left="1587" w:header="851" w:footer="1191" w:gutter="0"/>
          <w:pgNumType w:fmt="decimal"/>
          <w:cols w:space="720" w:num="1"/>
          <w:rtlGutter w:val="0"/>
          <w:docGrid w:type="linesAndChars" w:linePitch="621" w:charSpace="-849"/>
        </w:sectPr>
      </w:pPr>
    </w:p>
    <w:p w14:paraId="6B6BDCF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9764D">
    <w:pPr>
      <w:pStyle w:val="3"/>
      <w:tabs>
        <w:tab w:val="left" w:pos="8520"/>
        <w:tab w:val="left" w:pos="8820"/>
        <w:tab w:val="clear" w:pos="8306"/>
      </w:tabs>
      <w:spacing w:line="300" w:lineRule="exact"/>
      <w:ind w:left="0" w:leftChars="0" w:right="374" w:rightChars="117" w:firstLine="298" w:firstLineChars="16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762F23">
                          <w:pPr>
                            <w:snapToGrid w:val="0"/>
                            <w:ind w:right="243" w:rightChars="76"/>
                            <w:rPr>
                              <w:rFonts w:hint="eastAsia" w:eastAsia="仿宋_GB2312"/>
                              <w:sz w:val="28"/>
                              <w:szCs w:val="28"/>
                              <w:lang w:eastAsia="zh-CN"/>
                            </w:rPr>
                          </w:pPr>
                          <w:r>
                            <w:rPr>
                              <w:rFonts w:hint="eastAsia"/>
                              <w:sz w:val="28"/>
                              <w:szCs w:val="28"/>
                              <w:lang w:val="en-US" w:eastAsia="zh-CN"/>
                            </w:rPr>
                            <w:t xml:space="preserve">  </w:t>
                          </w:r>
                          <w:r>
                            <w:rPr>
                              <w:rFonts w:hint="eastAsia"/>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2A762F23">
                    <w:pPr>
                      <w:snapToGrid w:val="0"/>
                      <w:ind w:right="243" w:rightChars="76"/>
                      <w:rPr>
                        <w:rFonts w:hint="eastAsia" w:eastAsia="仿宋_GB2312"/>
                        <w:sz w:val="28"/>
                        <w:szCs w:val="28"/>
                        <w:lang w:eastAsia="zh-CN"/>
                      </w:rPr>
                    </w:pPr>
                    <w:r>
                      <w:rPr>
                        <w:rFonts w:hint="eastAsia"/>
                        <w:sz w:val="28"/>
                        <w:szCs w:val="28"/>
                        <w:lang w:val="en-US" w:eastAsia="zh-CN"/>
                      </w:rPr>
                      <w:t xml:space="preserve">  </w:t>
                    </w:r>
                    <w:r>
                      <w:rPr>
                        <w:rFonts w:hint="eastAsia"/>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VkZWUwYjdkZDYzZGY2NmZiZGNiZGIyMjFjYWIifQ=="/>
  </w:docVars>
  <w:rsids>
    <w:rsidRoot w:val="3C5C2E32"/>
    <w:rsid w:val="3C5C2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unhideWhenUsed/>
    <w:uiPriority w:val="99"/>
    <w:pPr>
      <w:widowControl w:val="0"/>
      <w:jc w:val="both"/>
    </w:pPr>
    <w:rPr>
      <w:rFonts w:ascii="宋体" w:hAnsi="Courier New" w:eastAsia="宋体" w:cs="Times New Roman"/>
      <w:kern w:val="2"/>
      <w:sz w:val="32"/>
      <w:szCs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spacing w:line="240" w:lineRule="atLeast"/>
      <w:jc w:val="center"/>
    </w:pPr>
    <w:rPr>
      <w:sz w:val="18"/>
    </w:rPr>
  </w:style>
  <w:style w:type="character" w:styleId="7">
    <w:name w:val="page number"/>
    <w:basedOn w:val="6"/>
    <w:qFormat/>
    <w:uiPriority w:val="0"/>
  </w:style>
  <w:style w:type="paragraph" w:customStyle="1" w:styleId="8">
    <w:name w:val="样式1 标题（方正小标宋简体）"/>
    <w:basedOn w:val="1"/>
    <w:qFormat/>
    <w:uiPriority w:val="0"/>
    <w:pPr>
      <w:spacing w:line="560" w:lineRule="exact"/>
      <w:jc w:val="center"/>
    </w:pPr>
    <w:rPr>
      <w:rFonts w:ascii="Times New Roman" w:hAnsi="Times New Roman" w:eastAsia="方正小标宋简体" w:cs="Times New Roman"/>
      <w:sz w:val="44"/>
      <w:szCs w:val="44"/>
    </w:rPr>
  </w:style>
  <w:style w:type="paragraph" w:customStyle="1" w:styleId="9">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省市场监督管理局</Company>
  <Pages>11</Pages>
  <Words>0</Words>
  <Characters>0</Characters>
  <Lines>0</Lines>
  <Paragraphs>0</Paragraphs>
  <TotalTime>0</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2024-08-13T02:50:00Z</dcterms:created>
  <dc:creator>胡翌婧</dc:creator>
  <cp:lastModifiedBy>胡翌婧</cp:lastModifiedBy>
  <dcterms:modified xsi:type="dcterms:W3CDTF">2024-08-13T02:50:34Z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D1787510FFB44BF0A7E2E7E9DFCF8452_11</vt:lpwstr>
  </property>
</Properties>
</file>