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4" w:lineRule="exact"/>
        <w:jc w:val="both"/>
        <w:rPr>
          <w:rFonts w:hint="eastAsia" w:ascii="Times New Roman" w:hAnsi="Times New Roman" w:eastAsia="方正小标宋简体"/>
          <w:color w:val="000000"/>
          <w:sz w:val="32"/>
          <w:szCs w:val="32"/>
          <w:lang w:val="en-US" w:eastAsia="zh-CN"/>
        </w:rPr>
      </w:pPr>
      <w:bookmarkStart w:id="0" w:name="_GoBack"/>
      <w:r>
        <w:rPr>
          <w:rFonts w:hint="eastAsia" w:ascii="Times New Roman" w:hAnsi="Times New Roman" w:eastAsia="方正小标宋简体"/>
          <w:color w:val="000000"/>
          <w:sz w:val="32"/>
          <w:szCs w:val="32"/>
          <w:lang w:val="en-US" w:eastAsia="zh-CN"/>
        </w:rPr>
        <w:t>附件</w:t>
      </w:r>
      <w:r>
        <w:rPr>
          <w:rFonts w:hint="eastAsia" w:ascii="Times New Roman" w:hAnsi="Times New Roman" w:eastAsia="方正小标宋简体"/>
          <w:color w:val="000000"/>
          <w:sz w:val="32"/>
          <w:szCs w:val="32"/>
          <w:lang w:val="en-US" w:eastAsia="zh-CN"/>
        </w:rPr>
        <w:t>7</w:t>
      </w:r>
    </w:p>
    <w:bookmarkEnd w:id="0"/>
    <w:p>
      <w:pPr>
        <w:adjustRightInd w:val="0"/>
        <w:snapToGrid w:val="0"/>
        <w:spacing w:line="594" w:lineRule="exact"/>
        <w:jc w:val="center"/>
        <w:rPr>
          <w:rFonts w:hint="eastAsia" w:ascii="Times New Roman" w:hAnsi="Times New Roman" w:eastAsia="方正小标宋简体"/>
          <w:color w:val="000000"/>
          <w:sz w:val="32"/>
          <w:szCs w:val="32"/>
          <w:lang w:val="en-US" w:eastAsia="zh-CN"/>
        </w:rPr>
      </w:pPr>
    </w:p>
    <w:p>
      <w:pPr>
        <w:adjustRightInd w:val="0"/>
        <w:snapToGrid w:val="0"/>
        <w:spacing w:line="594" w:lineRule="exact"/>
        <w:jc w:val="center"/>
        <w:rPr>
          <w:rFonts w:hint="eastAsia" w:ascii="Times New Roman" w:hAnsi="Times New Roman" w:eastAsia="方正小标宋简体"/>
          <w:color w:val="000000"/>
          <w:sz w:val="32"/>
          <w:szCs w:val="32"/>
          <w:lang w:val="en-US" w:eastAsia="zh-CN"/>
        </w:rPr>
      </w:pPr>
      <w:r>
        <w:rPr>
          <w:rFonts w:hint="eastAsia" w:ascii="Times New Roman" w:hAnsi="Times New Roman" w:eastAsia="方正小标宋简体"/>
          <w:color w:val="000000"/>
          <w:sz w:val="32"/>
          <w:szCs w:val="32"/>
          <w:lang w:val="en-US" w:eastAsia="zh-CN"/>
        </w:rPr>
        <w:t>梅州市煎烤器及烘烤器具产品质量监督抽查实施细则</w:t>
      </w:r>
    </w:p>
    <w:p>
      <w:pPr>
        <w:pStyle w:val="2"/>
        <w:jc w:val="both"/>
        <w:rPr>
          <w:rFonts w:ascii="Times New Roman"/>
        </w:rPr>
      </w:pPr>
    </w:p>
    <w:p>
      <w:pPr>
        <w:keepNext w:val="0"/>
        <w:keepLines w:val="0"/>
        <w:pageBreakBefore w:val="0"/>
        <w:kinsoku/>
        <w:wordWrap/>
        <w:overflowPunct/>
        <w:topLinePunct w:val="0"/>
        <w:bidi w:val="0"/>
        <w:snapToGrid w:val="0"/>
        <w:spacing w:line="360" w:lineRule="auto"/>
        <w:ind w:firstLine="420" w:firstLineChars="200"/>
        <w:textAlignment w:val="auto"/>
        <w:rPr>
          <w:rFonts w:hint="eastAsia" w:eastAsia="黑体"/>
          <w:color w:val="000000"/>
          <w:sz w:val="21"/>
          <w:szCs w:val="21"/>
        </w:rPr>
      </w:pPr>
      <w:r>
        <w:rPr>
          <w:rFonts w:hint="eastAsia" w:eastAsia="黑体"/>
          <w:color w:val="000000"/>
          <w:sz w:val="21"/>
          <w:szCs w:val="21"/>
        </w:rPr>
        <w:t>一、抽样方法</w:t>
      </w:r>
    </w:p>
    <w:p>
      <w:pPr>
        <w:keepNext w:val="0"/>
        <w:keepLines w:val="0"/>
        <w:pageBreakBefore w:val="0"/>
        <w:widowControl/>
        <w:kinsoku/>
        <w:wordWrap/>
        <w:overflowPunct/>
        <w:topLinePunct w:val="0"/>
        <w:bidi w:val="0"/>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0"/>
          <w:sz w:val="21"/>
          <w:szCs w:val="21"/>
        </w:rPr>
        <w:t>以随机抽样的方式在被抽查市场主体的待销产品中抽取。</w:t>
      </w:r>
    </w:p>
    <w:p>
      <w:pPr>
        <w:keepNext w:val="0"/>
        <w:keepLines w:val="0"/>
        <w:pageBreakBefore w:val="0"/>
        <w:widowControl/>
        <w:kinsoku/>
        <w:wordWrap/>
        <w:overflowPunct/>
        <w:topLinePunct w:val="0"/>
        <w:bidi w:val="0"/>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333333"/>
          <w:kern w:val="0"/>
          <w:sz w:val="21"/>
          <w:szCs w:val="21"/>
        </w:rPr>
        <w:t>随机数一般可使用随机数表等方法产生。</w:t>
      </w:r>
    </w:p>
    <w:p>
      <w:pPr>
        <w:keepNext w:val="0"/>
        <w:keepLines w:val="0"/>
        <w:pageBreakBefore w:val="0"/>
        <w:kinsoku/>
        <w:wordWrap/>
        <w:overflowPunct/>
        <w:topLinePunct w:val="0"/>
        <w:bidi w:val="0"/>
        <w:spacing w:line="360" w:lineRule="auto"/>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抽查数量：每款产品抽取2组样本，第1组用于检验，第2组用于备样。每组样本需抽取样品1个。</w:t>
      </w:r>
    </w:p>
    <w:p>
      <w:pPr>
        <w:keepNext w:val="0"/>
        <w:keepLines w:val="0"/>
        <w:pageBreakBefore w:val="0"/>
        <w:kinsoku/>
        <w:wordWrap/>
        <w:overflowPunct/>
        <w:topLinePunct w:val="0"/>
        <w:bidi w:val="0"/>
        <w:snapToGrid w:val="0"/>
        <w:spacing w:line="360" w:lineRule="auto"/>
        <w:ind w:firstLine="420" w:firstLineChars="200"/>
        <w:textAlignment w:val="auto"/>
        <w:rPr>
          <w:rFonts w:hint="eastAsia" w:eastAsia="黑体"/>
          <w:color w:val="000000"/>
          <w:sz w:val="21"/>
          <w:szCs w:val="21"/>
        </w:rPr>
      </w:pPr>
      <w:r>
        <w:rPr>
          <w:rFonts w:hint="eastAsia" w:eastAsia="黑体"/>
          <w:color w:val="000000"/>
          <w:sz w:val="21"/>
          <w:szCs w:val="21"/>
        </w:rPr>
        <w:t>二、主要检验项目及检验项目属性划分</w:t>
      </w:r>
    </w:p>
    <w:tbl>
      <w:tblPr>
        <w:tblStyle w:val="6"/>
        <w:tblW w:w="879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2"/>
        <w:gridCol w:w="1913"/>
        <w:gridCol w:w="1909"/>
        <w:gridCol w:w="992"/>
        <w:gridCol w:w="605"/>
        <w:gridCol w:w="850"/>
        <w:gridCol w:w="992"/>
        <w:gridCol w:w="8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blHeader/>
        </w:trPr>
        <w:tc>
          <w:tcPr>
            <w:tcW w:w="682" w:type="dxa"/>
            <w:shd w:val="clear" w:color="auto" w:fill="auto"/>
            <w:vAlign w:val="center"/>
          </w:tcPr>
          <w:p>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序号</w:t>
            </w:r>
          </w:p>
        </w:tc>
        <w:tc>
          <w:tcPr>
            <w:tcW w:w="1913" w:type="dxa"/>
            <w:shd w:val="clear" w:color="auto" w:fill="auto"/>
            <w:vAlign w:val="center"/>
          </w:tcPr>
          <w:p>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检验项目</w:t>
            </w:r>
          </w:p>
        </w:tc>
        <w:tc>
          <w:tcPr>
            <w:tcW w:w="1909" w:type="dxa"/>
            <w:shd w:val="clear" w:color="auto" w:fill="auto"/>
            <w:vAlign w:val="center"/>
          </w:tcPr>
          <w:p>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检验方法</w:t>
            </w:r>
          </w:p>
        </w:tc>
        <w:tc>
          <w:tcPr>
            <w:tcW w:w="992" w:type="dxa"/>
            <w:shd w:val="clear" w:color="auto" w:fill="auto"/>
            <w:vAlign w:val="center"/>
          </w:tcPr>
          <w:p>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强制性</w:t>
            </w:r>
          </w:p>
        </w:tc>
        <w:tc>
          <w:tcPr>
            <w:tcW w:w="605" w:type="dxa"/>
            <w:shd w:val="clear" w:color="auto" w:fill="auto"/>
            <w:vAlign w:val="center"/>
          </w:tcPr>
          <w:p>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非强制性</w:t>
            </w:r>
          </w:p>
        </w:tc>
        <w:tc>
          <w:tcPr>
            <w:tcW w:w="850" w:type="dxa"/>
            <w:shd w:val="clear" w:color="auto" w:fill="auto"/>
            <w:vAlign w:val="center"/>
          </w:tcPr>
          <w:p>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重要项</w:t>
            </w:r>
          </w:p>
        </w:tc>
        <w:tc>
          <w:tcPr>
            <w:tcW w:w="992" w:type="dxa"/>
            <w:shd w:val="clear" w:color="auto" w:fill="auto"/>
            <w:vAlign w:val="center"/>
          </w:tcPr>
          <w:p>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较重要项</w:t>
            </w:r>
          </w:p>
        </w:tc>
        <w:tc>
          <w:tcPr>
            <w:tcW w:w="851" w:type="dxa"/>
            <w:shd w:val="clear" w:color="auto" w:fill="auto"/>
            <w:vAlign w:val="center"/>
          </w:tcPr>
          <w:p>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对触及带电部件的防护</w:t>
            </w:r>
          </w:p>
        </w:tc>
        <w:tc>
          <w:tcPr>
            <w:tcW w:w="1909" w:type="dxa"/>
            <w:vMerge w:val="restart"/>
            <w:shd w:val="clear" w:color="auto" w:fill="auto"/>
            <w:vAlign w:val="center"/>
          </w:tcPr>
          <w:p>
            <w:pPr>
              <w:keepNext w:val="0"/>
              <w:keepLines w:val="0"/>
              <w:pageBreakBefore w:val="0"/>
              <w:kinsoku/>
              <w:wordWrap/>
              <w:overflowPunct/>
              <w:topLinePunct w:val="0"/>
              <w:bidi w:val="0"/>
              <w:snapToGrid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GB 4706.1-2005</w:t>
            </w:r>
          </w:p>
          <w:p>
            <w:pPr>
              <w:keepNext w:val="0"/>
              <w:keepLines w:val="0"/>
              <w:pageBreakBefore w:val="0"/>
              <w:kinsoku/>
              <w:wordWrap/>
              <w:overflowPunct/>
              <w:topLinePunct w:val="0"/>
              <w:bidi w:val="0"/>
              <w:snapToGrid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GB 4706.14-2008</w:t>
            </w:r>
          </w:p>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GB 4706.22-2008</w:t>
            </w:r>
          </w:p>
        </w:tc>
        <w:tc>
          <w:tcPr>
            <w:tcW w:w="992" w:type="dxa"/>
            <w:shd w:val="clear" w:color="auto" w:fill="auto"/>
            <w:vAlign w:val="center"/>
          </w:tcPr>
          <w:p>
            <w:pPr>
              <w:keepNext w:val="0"/>
              <w:keepLines w:val="0"/>
              <w:pageBreakBefore w:val="0"/>
              <w:kinsoku/>
              <w:wordWrap/>
              <w:overflowPunct/>
              <w:topLinePunct w:val="0"/>
              <w:bidi w:val="0"/>
              <w:spacing w:before="63" w:line="360" w:lineRule="auto"/>
              <w:ind w:left="3"/>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before="63" w:line="360" w:lineRule="auto"/>
              <w:ind w:left="8"/>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输入功率和电流</w:t>
            </w:r>
          </w:p>
        </w:tc>
        <w:tc>
          <w:tcPr>
            <w:tcW w:w="1909" w:type="dxa"/>
            <w:vMerge w:val="continue"/>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992" w:type="dxa"/>
            <w:shd w:val="clear" w:color="auto" w:fill="auto"/>
            <w:vAlign w:val="center"/>
          </w:tcPr>
          <w:p>
            <w:pPr>
              <w:keepNext w:val="0"/>
              <w:keepLines w:val="0"/>
              <w:pageBreakBefore w:val="0"/>
              <w:kinsoku/>
              <w:wordWrap/>
              <w:overflowPunct/>
              <w:topLinePunct w:val="0"/>
              <w:bidi w:val="0"/>
              <w:spacing w:before="63" w:line="360" w:lineRule="auto"/>
              <w:ind w:left="3"/>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before="63" w:line="360" w:lineRule="auto"/>
              <w:ind w:left="7"/>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发热</w:t>
            </w:r>
          </w:p>
        </w:tc>
        <w:tc>
          <w:tcPr>
            <w:tcW w:w="1909" w:type="dxa"/>
            <w:vMerge w:val="continue"/>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992" w:type="dxa"/>
            <w:shd w:val="clear" w:color="auto" w:fill="auto"/>
            <w:vAlign w:val="center"/>
          </w:tcPr>
          <w:p>
            <w:pPr>
              <w:keepNext w:val="0"/>
              <w:keepLines w:val="0"/>
              <w:pageBreakBefore w:val="0"/>
              <w:kinsoku/>
              <w:wordWrap/>
              <w:overflowPunct/>
              <w:topLinePunct w:val="0"/>
              <w:bidi w:val="0"/>
              <w:spacing w:before="63" w:line="360" w:lineRule="auto"/>
              <w:ind w:left="3"/>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before="63" w:line="360" w:lineRule="auto"/>
              <w:ind w:left="7"/>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1"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工作温度下的泄漏电流和电气强度</w:t>
            </w:r>
          </w:p>
        </w:tc>
        <w:tc>
          <w:tcPr>
            <w:tcW w:w="1909" w:type="dxa"/>
            <w:vMerge w:val="continue"/>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992" w:type="dxa"/>
            <w:shd w:val="clear" w:color="auto" w:fill="auto"/>
            <w:vAlign w:val="center"/>
          </w:tcPr>
          <w:p>
            <w:pPr>
              <w:keepNext w:val="0"/>
              <w:keepLines w:val="0"/>
              <w:pageBreakBefore w:val="0"/>
              <w:kinsoku/>
              <w:wordWrap/>
              <w:overflowPunct/>
              <w:topLinePunct w:val="0"/>
              <w:bidi w:val="0"/>
              <w:spacing w:before="65" w:line="360" w:lineRule="auto"/>
              <w:ind w:left="3"/>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before="65" w:line="360" w:lineRule="auto"/>
              <w:ind w:left="7"/>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耐潮湿</w:t>
            </w:r>
          </w:p>
        </w:tc>
        <w:tc>
          <w:tcPr>
            <w:tcW w:w="1909" w:type="dxa"/>
            <w:vMerge w:val="continue"/>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992" w:type="dxa"/>
            <w:shd w:val="clear" w:color="auto" w:fill="auto"/>
            <w:vAlign w:val="center"/>
          </w:tcPr>
          <w:p>
            <w:pPr>
              <w:keepNext w:val="0"/>
              <w:keepLines w:val="0"/>
              <w:pageBreakBefore w:val="0"/>
              <w:kinsoku/>
              <w:wordWrap/>
              <w:overflowPunct/>
              <w:topLinePunct w:val="0"/>
              <w:bidi w:val="0"/>
              <w:spacing w:before="63" w:line="360" w:lineRule="auto"/>
              <w:ind w:left="3"/>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before="63" w:line="360" w:lineRule="auto"/>
              <w:ind w:left="7"/>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泄漏电流和电气强度</w:t>
            </w:r>
          </w:p>
        </w:tc>
        <w:tc>
          <w:tcPr>
            <w:tcW w:w="1909" w:type="dxa"/>
            <w:vMerge w:val="continue"/>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992" w:type="dxa"/>
            <w:shd w:val="clear" w:color="auto" w:fill="auto"/>
            <w:vAlign w:val="center"/>
          </w:tcPr>
          <w:p>
            <w:pPr>
              <w:keepNext w:val="0"/>
              <w:keepLines w:val="0"/>
              <w:pageBreakBefore w:val="0"/>
              <w:kinsoku/>
              <w:wordWrap/>
              <w:overflowPunct/>
              <w:topLinePunct w:val="0"/>
              <w:bidi w:val="0"/>
              <w:spacing w:before="63" w:line="360" w:lineRule="auto"/>
              <w:ind w:left="3"/>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before="63" w:line="360" w:lineRule="auto"/>
              <w:ind w:left="7"/>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非正常工作（不包括第19.11.4条试验）</w:t>
            </w:r>
          </w:p>
        </w:tc>
        <w:tc>
          <w:tcPr>
            <w:tcW w:w="1909" w:type="dxa"/>
            <w:vMerge w:val="continue"/>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992" w:type="dxa"/>
            <w:shd w:val="clear" w:color="auto" w:fill="auto"/>
            <w:vAlign w:val="center"/>
          </w:tcPr>
          <w:p>
            <w:pPr>
              <w:keepNext w:val="0"/>
              <w:keepLines w:val="0"/>
              <w:pageBreakBefore w:val="0"/>
              <w:kinsoku/>
              <w:wordWrap/>
              <w:overflowPunct/>
              <w:topLinePunct w:val="0"/>
              <w:bidi w:val="0"/>
              <w:spacing w:before="63" w:line="360" w:lineRule="auto"/>
              <w:ind w:left="3"/>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before="63" w:line="360" w:lineRule="auto"/>
              <w:ind w:left="7"/>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稳定性和机械危险</w:t>
            </w:r>
          </w:p>
        </w:tc>
        <w:tc>
          <w:tcPr>
            <w:tcW w:w="1909" w:type="dxa"/>
            <w:vMerge w:val="continue"/>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992" w:type="dxa"/>
            <w:shd w:val="clear" w:color="auto" w:fill="auto"/>
            <w:vAlign w:val="center"/>
          </w:tcPr>
          <w:p>
            <w:pPr>
              <w:keepNext w:val="0"/>
              <w:keepLines w:val="0"/>
              <w:pageBreakBefore w:val="0"/>
              <w:kinsoku/>
              <w:wordWrap/>
              <w:overflowPunct/>
              <w:topLinePunct w:val="0"/>
              <w:bidi w:val="0"/>
              <w:spacing w:before="63" w:line="360" w:lineRule="auto"/>
              <w:ind w:left="3"/>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before="63" w:line="360" w:lineRule="auto"/>
              <w:ind w:left="7"/>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机械强度</w:t>
            </w:r>
          </w:p>
        </w:tc>
        <w:tc>
          <w:tcPr>
            <w:tcW w:w="1909" w:type="dxa"/>
            <w:vMerge w:val="continue"/>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992" w:type="dxa"/>
            <w:shd w:val="clear" w:color="auto" w:fill="auto"/>
            <w:vAlign w:val="center"/>
          </w:tcPr>
          <w:p>
            <w:pPr>
              <w:keepNext w:val="0"/>
              <w:keepLines w:val="0"/>
              <w:pageBreakBefore w:val="0"/>
              <w:kinsoku/>
              <w:wordWrap/>
              <w:overflowPunct/>
              <w:topLinePunct w:val="0"/>
              <w:bidi w:val="0"/>
              <w:spacing w:before="63" w:line="360" w:lineRule="auto"/>
              <w:ind w:left="3"/>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before="63" w:line="360" w:lineRule="auto"/>
              <w:ind w:left="7"/>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2"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结构（不包括第22.46条试验）</w:t>
            </w:r>
          </w:p>
        </w:tc>
        <w:tc>
          <w:tcPr>
            <w:tcW w:w="1909" w:type="dxa"/>
            <w:vMerge w:val="continue"/>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992" w:type="dxa"/>
            <w:shd w:val="clear" w:color="auto" w:fill="auto"/>
            <w:vAlign w:val="center"/>
          </w:tcPr>
          <w:p>
            <w:pPr>
              <w:keepNext w:val="0"/>
              <w:keepLines w:val="0"/>
              <w:pageBreakBefore w:val="0"/>
              <w:kinsoku/>
              <w:wordWrap/>
              <w:overflowPunct/>
              <w:topLinePunct w:val="0"/>
              <w:bidi w:val="0"/>
              <w:spacing w:before="65" w:line="360" w:lineRule="auto"/>
              <w:ind w:left="3"/>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before="65" w:line="360" w:lineRule="auto"/>
              <w:ind w:left="7"/>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内部布线</w:t>
            </w:r>
          </w:p>
        </w:tc>
        <w:tc>
          <w:tcPr>
            <w:tcW w:w="1909" w:type="dxa"/>
            <w:vMerge w:val="continue"/>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992" w:type="dxa"/>
            <w:shd w:val="clear" w:color="auto" w:fill="auto"/>
            <w:vAlign w:val="center"/>
          </w:tcPr>
          <w:p>
            <w:pPr>
              <w:keepNext w:val="0"/>
              <w:keepLines w:val="0"/>
              <w:pageBreakBefore w:val="0"/>
              <w:kinsoku/>
              <w:wordWrap/>
              <w:overflowPunct/>
              <w:topLinePunct w:val="0"/>
              <w:bidi w:val="0"/>
              <w:spacing w:before="63" w:line="360" w:lineRule="auto"/>
              <w:ind w:left="3"/>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before="63" w:line="360" w:lineRule="auto"/>
              <w:ind w:left="7"/>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电源连接和外部软线</w:t>
            </w:r>
          </w:p>
        </w:tc>
        <w:tc>
          <w:tcPr>
            <w:tcW w:w="1909" w:type="dxa"/>
            <w:vMerge w:val="continue"/>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992" w:type="dxa"/>
            <w:shd w:val="clear" w:color="auto" w:fill="auto"/>
            <w:vAlign w:val="center"/>
          </w:tcPr>
          <w:p>
            <w:pPr>
              <w:keepNext w:val="0"/>
              <w:keepLines w:val="0"/>
              <w:pageBreakBefore w:val="0"/>
              <w:kinsoku/>
              <w:wordWrap/>
              <w:overflowPunct/>
              <w:topLinePunct w:val="0"/>
              <w:bidi w:val="0"/>
              <w:spacing w:before="63" w:line="360" w:lineRule="auto"/>
              <w:ind w:left="3"/>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before="63" w:line="360" w:lineRule="auto"/>
              <w:ind w:left="7"/>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外部导线用接线端子</w:t>
            </w:r>
          </w:p>
        </w:tc>
        <w:tc>
          <w:tcPr>
            <w:tcW w:w="1909" w:type="dxa"/>
            <w:vMerge w:val="continue"/>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992" w:type="dxa"/>
            <w:shd w:val="clear" w:color="auto" w:fill="auto"/>
            <w:vAlign w:val="center"/>
          </w:tcPr>
          <w:p>
            <w:pPr>
              <w:keepNext w:val="0"/>
              <w:keepLines w:val="0"/>
              <w:pageBreakBefore w:val="0"/>
              <w:kinsoku/>
              <w:wordWrap/>
              <w:overflowPunct/>
              <w:topLinePunct w:val="0"/>
              <w:bidi w:val="0"/>
              <w:spacing w:line="360" w:lineRule="auto"/>
              <w:ind w:left="3"/>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line="360" w:lineRule="auto"/>
              <w:ind w:left="7"/>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接地措施</w:t>
            </w:r>
          </w:p>
        </w:tc>
        <w:tc>
          <w:tcPr>
            <w:tcW w:w="1909" w:type="dxa"/>
            <w:vMerge w:val="continue"/>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992" w:type="dxa"/>
            <w:shd w:val="clear" w:color="auto" w:fill="auto"/>
            <w:vAlign w:val="center"/>
          </w:tcPr>
          <w:p>
            <w:pPr>
              <w:keepNext w:val="0"/>
              <w:keepLines w:val="0"/>
              <w:pageBreakBefore w:val="0"/>
              <w:kinsoku/>
              <w:wordWrap/>
              <w:overflowPunct/>
              <w:topLinePunct w:val="0"/>
              <w:bidi w:val="0"/>
              <w:spacing w:before="2"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before="2"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螺钉和连接</w:t>
            </w:r>
          </w:p>
        </w:tc>
        <w:tc>
          <w:tcPr>
            <w:tcW w:w="1909" w:type="dxa"/>
            <w:vMerge w:val="continue"/>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992" w:type="dxa"/>
            <w:shd w:val="clear" w:color="auto" w:fill="auto"/>
            <w:vAlign w:val="center"/>
          </w:tcPr>
          <w:p>
            <w:pPr>
              <w:keepNext w:val="0"/>
              <w:keepLines w:val="0"/>
              <w:pageBreakBefore w:val="0"/>
              <w:kinsoku/>
              <w:wordWrap/>
              <w:overflowPunct/>
              <w:topLinePunct w:val="0"/>
              <w:bidi w:val="0"/>
              <w:spacing w:before="2"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before="2"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68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16</w:t>
            </w:r>
          </w:p>
        </w:tc>
        <w:tc>
          <w:tcPr>
            <w:tcW w:w="1913"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电气间隙、爬电距离和固体绝缘</w:t>
            </w:r>
          </w:p>
        </w:tc>
        <w:tc>
          <w:tcPr>
            <w:tcW w:w="1909" w:type="dxa"/>
            <w:vMerge w:val="continue"/>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992" w:type="dxa"/>
            <w:shd w:val="clear" w:color="auto" w:fill="auto"/>
            <w:vAlign w:val="center"/>
          </w:tcPr>
          <w:p>
            <w:pPr>
              <w:keepNext w:val="0"/>
              <w:keepLines w:val="0"/>
              <w:pageBreakBefore w:val="0"/>
              <w:kinsoku/>
              <w:wordWrap/>
              <w:overflowPunct/>
              <w:topLinePunct w:val="0"/>
              <w:bidi w:val="0"/>
              <w:spacing w:before="2"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05"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0" w:type="dxa"/>
            <w:shd w:val="clear" w:color="auto" w:fill="auto"/>
            <w:vAlign w:val="center"/>
          </w:tcPr>
          <w:p>
            <w:pPr>
              <w:keepNext w:val="0"/>
              <w:keepLines w:val="0"/>
              <w:pageBreakBefore w:val="0"/>
              <w:kinsoku/>
              <w:wordWrap/>
              <w:overflowPunct/>
              <w:topLinePunct w:val="0"/>
              <w:bidi w:val="0"/>
              <w:spacing w:before="2" w:line="36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992"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c>
          <w:tcPr>
            <w:tcW w:w="851" w:type="dxa"/>
            <w:shd w:val="clear" w:color="auto" w:fill="auto"/>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sz w:val="21"/>
                <w:szCs w:val="21"/>
              </w:rPr>
            </w:pPr>
          </w:p>
        </w:tc>
      </w:tr>
    </w:tbl>
    <w:p>
      <w:pPr>
        <w:keepNext w:val="0"/>
        <w:keepLines w:val="0"/>
        <w:pageBreakBefore w:val="0"/>
        <w:kinsoku/>
        <w:wordWrap/>
        <w:overflowPunct/>
        <w:topLinePunct w:val="0"/>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注：执行企业标准、团体标准、地方标准的产品，检验项目参照上述内容执行。</w:t>
      </w:r>
    </w:p>
    <w:p>
      <w:pPr>
        <w:keepNext w:val="0"/>
        <w:keepLines w:val="0"/>
        <w:pageBreakBefore w:val="0"/>
        <w:kinsoku/>
        <w:wordWrap/>
        <w:overflowPunct/>
        <w:topLinePunct w:val="0"/>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snapToGrid w:val="0"/>
        <w:spacing w:line="360" w:lineRule="auto"/>
        <w:ind w:firstLine="420" w:firstLineChars="200"/>
        <w:textAlignment w:val="auto"/>
        <w:rPr>
          <w:rFonts w:hint="eastAsia" w:eastAsia="黑体"/>
          <w:color w:val="000000"/>
          <w:sz w:val="21"/>
          <w:szCs w:val="21"/>
        </w:rPr>
      </w:pPr>
      <w:r>
        <w:rPr>
          <w:rFonts w:hint="eastAsia" w:eastAsia="黑体"/>
          <w:color w:val="000000"/>
          <w:sz w:val="21"/>
          <w:szCs w:val="21"/>
        </w:rPr>
        <w:t>三、判定规则</w:t>
      </w:r>
    </w:p>
    <w:p>
      <w:pPr>
        <w:keepNext w:val="0"/>
        <w:keepLines w:val="0"/>
        <w:pageBreakBefore w:val="0"/>
        <w:kinsoku/>
        <w:wordWrap/>
        <w:overflowPunct/>
        <w:topLinePunct w:val="0"/>
        <w:bidi w:val="0"/>
        <w:spacing w:line="360" w:lineRule="auto"/>
        <w:ind w:firstLine="420" w:firstLineChars="200"/>
        <w:jc w:val="left"/>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（一）</w:t>
      </w:r>
      <w:r>
        <w:rPr>
          <w:rFonts w:hint="eastAsia" w:asciiTheme="minorEastAsia" w:hAnsiTheme="minorEastAsia" w:eastAsiaTheme="minorEastAsia" w:cstheme="minorEastAsia"/>
          <w:kern w:val="0"/>
          <w:sz w:val="21"/>
          <w:szCs w:val="21"/>
        </w:rPr>
        <w:t>依据标准</w:t>
      </w:r>
    </w:p>
    <w:p>
      <w:pPr>
        <w:keepNext w:val="0"/>
        <w:keepLines w:val="0"/>
        <w:pageBreakBefore w:val="0"/>
        <w:kinsoku/>
        <w:wordWrap/>
        <w:overflowPunct/>
        <w:topLinePunct w:val="0"/>
        <w:bidi w:val="0"/>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GB 4706.1-2005《家用和类似用途电器的安全 第1部分：通用要求》</w:t>
      </w:r>
    </w:p>
    <w:p>
      <w:pPr>
        <w:keepNext w:val="0"/>
        <w:keepLines w:val="0"/>
        <w:pageBreakBefore w:val="0"/>
        <w:kinsoku/>
        <w:wordWrap/>
        <w:overflowPunct/>
        <w:topLinePunct w:val="0"/>
        <w:bidi w:val="0"/>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GB 4706.14-2008《家用和类似用途电器的安全 烤架、面包片烘烤器及类似用途便携式烹饪器具的特殊要求》</w:t>
      </w:r>
    </w:p>
    <w:p>
      <w:pPr>
        <w:keepNext w:val="0"/>
        <w:keepLines w:val="0"/>
        <w:pageBreakBefore w:val="0"/>
        <w:kinsoku/>
        <w:wordWrap/>
        <w:overflowPunct/>
        <w:topLinePunct w:val="0"/>
        <w:bidi w:val="0"/>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GB 4706.22-2008《家用和类似用途电器的安全 驻立式电灶、灶台、烤箱及类似用途器具的特殊要求》</w:t>
      </w:r>
    </w:p>
    <w:p>
      <w:pPr>
        <w:keepNext w:val="0"/>
        <w:keepLines w:val="0"/>
        <w:pageBreakBefore w:val="0"/>
        <w:kinsoku/>
        <w:wordWrap/>
        <w:overflowPunct/>
        <w:topLinePunct w:val="0"/>
        <w:bidi w:val="0"/>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现行有效的企业标准、团体标准、地方标准及产品明示质量要求。</w:t>
      </w:r>
    </w:p>
    <w:p>
      <w:pPr>
        <w:keepNext w:val="0"/>
        <w:keepLines w:val="0"/>
        <w:pageBreakBefore w:val="0"/>
        <w:widowControl/>
        <w:kinsoku/>
        <w:wordWrap/>
        <w:overflowPunct/>
        <w:topLinePunct w:val="0"/>
        <w:bidi w:val="0"/>
        <w:spacing w:line="360" w:lineRule="auto"/>
        <w:ind w:firstLine="420" w:firstLineChars="200"/>
        <w:textAlignment w:val="auto"/>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（二）判定原则</w:t>
      </w:r>
    </w:p>
    <w:p>
      <w:pPr>
        <w:keepNext w:val="0"/>
        <w:keepLines w:val="0"/>
        <w:pageBreakBefore w:val="0"/>
        <w:kinsoku/>
        <w:wordWrap/>
        <w:overflowPunct/>
        <w:topLinePunct w:val="0"/>
        <w:bidi w:val="0"/>
        <w:snapToGrid w:val="0"/>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经检验，检验项目全部合格，判定为抽取的样本所检项目未检出不合格；检验项目中任一项或一项以上不合格，判定为被抽查产品不合格。</w:t>
      </w:r>
    </w:p>
    <w:p>
      <w:pPr>
        <w:pStyle w:val="9"/>
        <w:keepNext w:val="0"/>
        <w:keepLines w:val="0"/>
        <w:pageBreakBefore w:val="0"/>
        <w:tabs>
          <w:tab w:val="clear" w:pos="4201"/>
          <w:tab w:val="clear" w:pos="9298"/>
        </w:tabs>
        <w:kinsoku/>
        <w:wordWrap/>
        <w:overflowPunct/>
        <w:topLinePunct w:val="0"/>
        <w:bidi w:val="0"/>
        <w:spacing w:line="360" w:lineRule="auto"/>
        <w:ind w:firstLine="64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当被检样品明示的质量要求优于监督抽查实施细则中依据的标准要求时，应按被检样品明示的质量要求判定；</w:t>
      </w:r>
    </w:p>
    <w:p>
      <w:pPr>
        <w:pStyle w:val="9"/>
        <w:keepNext w:val="0"/>
        <w:keepLines w:val="0"/>
        <w:pageBreakBefore w:val="0"/>
        <w:tabs>
          <w:tab w:val="clear" w:pos="4201"/>
          <w:tab w:val="clear" w:pos="9298"/>
        </w:tabs>
        <w:kinsoku/>
        <w:wordWrap/>
        <w:overflowPunct/>
        <w:topLinePunct w:val="0"/>
        <w:bidi w:val="0"/>
        <w:spacing w:line="360" w:lineRule="auto"/>
        <w:ind w:firstLine="64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当被检样品明示的质量要求劣于或不包含监督抽查实施细则中依据的强制性标准要求时，应按照强制性标准要求判定；</w:t>
      </w:r>
    </w:p>
    <w:p>
      <w:pPr>
        <w:pStyle w:val="9"/>
        <w:keepNext w:val="0"/>
        <w:keepLines w:val="0"/>
        <w:pageBreakBefore w:val="0"/>
        <w:widowControl w:val="0"/>
        <w:tabs>
          <w:tab w:val="clear" w:pos="4201"/>
          <w:tab w:val="clear" w:pos="9298"/>
        </w:tabs>
        <w:kinsoku/>
        <w:wordWrap/>
        <w:overflowPunct/>
        <w:topLinePunct w:val="0"/>
        <w:bidi w:val="0"/>
        <w:spacing w:line="360" w:lineRule="auto"/>
        <w:ind w:firstLine="64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9"/>
        <w:keepNext w:val="0"/>
        <w:keepLines w:val="0"/>
        <w:pageBreakBefore w:val="0"/>
        <w:widowControl w:val="0"/>
        <w:tabs>
          <w:tab w:val="clear" w:pos="4201"/>
          <w:tab w:val="clear" w:pos="9298"/>
        </w:tabs>
        <w:kinsoku/>
        <w:wordWrap/>
        <w:overflowPunct/>
        <w:topLinePunct w:val="0"/>
        <w:bidi w:val="0"/>
        <w:spacing w:line="360" w:lineRule="auto"/>
        <w:ind w:firstLine="64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当被检样品明示的质量要求不包含监督抽查实施细则中依据的推荐性标准要求时，该指标不参与判定，但应在检验报告中作出说明；</w:t>
      </w:r>
    </w:p>
    <w:p>
      <w:pPr>
        <w:pStyle w:val="9"/>
        <w:keepNext w:val="0"/>
        <w:keepLines w:val="0"/>
        <w:pageBreakBefore w:val="0"/>
        <w:widowControl w:val="0"/>
        <w:tabs>
          <w:tab w:val="clear" w:pos="4201"/>
          <w:tab w:val="clear" w:pos="9298"/>
        </w:tabs>
        <w:kinsoku/>
        <w:wordWrap/>
        <w:overflowPunct/>
        <w:topLinePunct w:val="0"/>
        <w:bidi w:val="0"/>
        <w:spacing w:line="360" w:lineRule="auto"/>
        <w:ind w:firstLine="64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当被检样品未能提供有效的企业标准时，按相关国家或行业标准进行判定；</w:t>
      </w:r>
    </w:p>
    <w:p>
      <w:pPr>
        <w:pStyle w:val="9"/>
        <w:keepNext w:val="0"/>
        <w:keepLines w:val="0"/>
        <w:pageBreakBefore w:val="0"/>
        <w:widowControl w:val="0"/>
        <w:tabs>
          <w:tab w:val="clear" w:pos="4201"/>
          <w:tab w:val="clear" w:pos="9298"/>
        </w:tabs>
        <w:kinsoku/>
        <w:wordWrap/>
        <w:overflowPunct/>
        <w:topLinePunct w:val="0"/>
        <w:bidi w:val="0"/>
        <w:spacing w:line="360" w:lineRule="auto"/>
        <w:ind w:firstLine="64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9"/>
        <w:keepNext w:val="0"/>
        <w:keepLines w:val="0"/>
        <w:pageBreakBefore w:val="0"/>
        <w:widowControl w:val="0"/>
        <w:tabs>
          <w:tab w:val="clear" w:pos="4201"/>
          <w:tab w:val="clear" w:pos="9298"/>
        </w:tabs>
        <w:kinsoku/>
        <w:wordWrap/>
        <w:overflowPunct/>
        <w:topLinePunct w:val="0"/>
        <w:bidi w:val="0"/>
        <w:spacing w:line="360" w:lineRule="auto"/>
        <w:ind w:firstLine="64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按照产品质量相关法律法规的规定判定。</w:t>
      </w:r>
    </w:p>
    <w:p>
      <w:pPr>
        <w:keepNext w:val="0"/>
        <w:keepLines w:val="0"/>
        <w:pageBreakBefore w:val="0"/>
        <w:kinsoku/>
        <w:wordWrap/>
        <w:overflowPunct/>
        <w:topLinePunct w:val="0"/>
        <w:bidi w:val="0"/>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检验中发现因样品失效或者其他原因致使检验无法进行的，检验人员应如实记录，并提供相关证明材料，报送组织监督抽查的市场监管部门。</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CNfcMGwIAACcEAAAOAAAAAAAAAAEAIAAAADUBAABkcnMvZTJvRG9jLnhtbFBLBQYA&#10;AAAABgAGAFkBAADCBQ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6AF"/>
    <w:rsid w:val="0002259A"/>
    <w:rsid w:val="00022EBF"/>
    <w:rsid w:val="00034D8C"/>
    <w:rsid w:val="000A14BC"/>
    <w:rsid w:val="000A40B0"/>
    <w:rsid w:val="000A6F8B"/>
    <w:rsid w:val="000B0C04"/>
    <w:rsid w:val="000B166A"/>
    <w:rsid w:val="000C3599"/>
    <w:rsid w:val="000D18A3"/>
    <w:rsid w:val="001055E6"/>
    <w:rsid w:val="00107945"/>
    <w:rsid w:val="00134855"/>
    <w:rsid w:val="00174A08"/>
    <w:rsid w:val="001840DF"/>
    <w:rsid w:val="00184D11"/>
    <w:rsid w:val="0018725D"/>
    <w:rsid w:val="001C5E1C"/>
    <w:rsid w:val="00263BA4"/>
    <w:rsid w:val="002A6E2E"/>
    <w:rsid w:val="002E3DA3"/>
    <w:rsid w:val="002F76AF"/>
    <w:rsid w:val="00316370"/>
    <w:rsid w:val="003536E0"/>
    <w:rsid w:val="00375F31"/>
    <w:rsid w:val="003C4466"/>
    <w:rsid w:val="003F0F20"/>
    <w:rsid w:val="003F48E9"/>
    <w:rsid w:val="00422509"/>
    <w:rsid w:val="0046583E"/>
    <w:rsid w:val="00467A03"/>
    <w:rsid w:val="00477416"/>
    <w:rsid w:val="00480BFD"/>
    <w:rsid w:val="0048735A"/>
    <w:rsid w:val="004B3672"/>
    <w:rsid w:val="004B606C"/>
    <w:rsid w:val="004E09FF"/>
    <w:rsid w:val="004F6FAB"/>
    <w:rsid w:val="00530081"/>
    <w:rsid w:val="00535A67"/>
    <w:rsid w:val="00540723"/>
    <w:rsid w:val="00561C57"/>
    <w:rsid w:val="00573092"/>
    <w:rsid w:val="0058550D"/>
    <w:rsid w:val="005A2490"/>
    <w:rsid w:val="005C543E"/>
    <w:rsid w:val="005E6358"/>
    <w:rsid w:val="005E7A94"/>
    <w:rsid w:val="005F4989"/>
    <w:rsid w:val="0061530D"/>
    <w:rsid w:val="00655F02"/>
    <w:rsid w:val="00664AD9"/>
    <w:rsid w:val="00667008"/>
    <w:rsid w:val="006A7326"/>
    <w:rsid w:val="006E15C6"/>
    <w:rsid w:val="006F34BE"/>
    <w:rsid w:val="006F4510"/>
    <w:rsid w:val="0070156D"/>
    <w:rsid w:val="007177D7"/>
    <w:rsid w:val="00740A11"/>
    <w:rsid w:val="00784094"/>
    <w:rsid w:val="00804B8A"/>
    <w:rsid w:val="00807DBD"/>
    <w:rsid w:val="00865EAA"/>
    <w:rsid w:val="008711D2"/>
    <w:rsid w:val="008C224C"/>
    <w:rsid w:val="008D1188"/>
    <w:rsid w:val="008D7BF7"/>
    <w:rsid w:val="00916066"/>
    <w:rsid w:val="00927827"/>
    <w:rsid w:val="00943F2F"/>
    <w:rsid w:val="00950329"/>
    <w:rsid w:val="009718F9"/>
    <w:rsid w:val="0098725B"/>
    <w:rsid w:val="009A0718"/>
    <w:rsid w:val="009D3170"/>
    <w:rsid w:val="009E7870"/>
    <w:rsid w:val="009F6497"/>
    <w:rsid w:val="00A075E8"/>
    <w:rsid w:val="00A44E58"/>
    <w:rsid w:val="00A614F8"/>
    <w:rsid w:val="00B1647C"/>
    <w:rsid w:val="00B31386"/>
    <w:rsid w:val="00BA5107"/>
    <w:rsid w:val="00BC4152"/>
    <w:rsid w:val="00BF60FC"/>
    <w:rsid w:val="00C203FA"/>
    <w:rsid w:val="00C41162"/>
    <w:rsid w:val="00C443CF"/>
    <w:rsid w:val="00C519BF"/>
    <w:rsid w:val="00C965AC"/>
    <w:rsid w:val="00C9728D"/>
    <w:rsid w:val="00CB45B1"/>
    <w:rsid w:val="00CB7B50"/>
    <w:rsid w:val="00CF22BF"/>
    <w:rsid w:val="00D078CB"/>
    <w:rsid w:val="00D24256"/>
    <w:rsid w:val="00D62B22"/>
    <w:rsid w:val="00D65D08"/>
    <w:rsid w:val="00D752E2"/>
    <w:rsid w:val="00DD258C"/>
    <w:rsid w:val="00DF47A1"/>
    <w:rsid w:val="00E20723"/>
    <w:rsid w:val="00E65C90"/>
    <w:rsid w:val="00EA65C1"/>
    <w:rsid w:val="00F36515"/>
    <w:rsid w:val="00F53E0B"/>
    <w:rsid w:val="00FA0804"/>
    <w:rsid w:val="00FD654C"/>
    <w:rsid w:val="0F8E0815"/>
    <w:rsid w:val="1438074F"/>
    <w:rsid w:val="15631434"/>
    <w:rsid w:val="17751B8E"/>
    <w:rsid w:val="38700B55"/>
    <w:rsid w:val="4EB50C3A"/>
    <w:rsid w:val="54D07982"/>
    <w:rsid w:val="6525617E"/>
    <w:rsid w:val="669F1C94"/>
    <w:rsid w:val="6FDB4A8B"/>
    <w:rsid w:val="719A2C70"/>
    <w:rsid w:val="73E19996"/>
    <w:rsid w:val="74E4707C"/>
    <w:rsid w:val="7CFFB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9"/>
    <w:pPr>
      <w:jc w:val="center"/>
      <w:outlineLvl w:val="0"/>
    </w:pPr>
    <w:rPr>
      <w:rFonts w:ascii="方正小标宋简体" w:eastAsia="方正小标宋简体"/>
      <w:kern w:val="44"/>
      <w:sz w:val="3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1"/>
    <w:qFormat/>
    <w:uiPriority w:val="0"/>
    <w:rPr>
      <w:rFonts w:ascii="宋体" w:hAnsi="Courier New" w:cs="Courier New" w:eastAsiaTheme="minorEastAsia"/>
      <w:sz w:val="21"/>
      <w:szCs w:val="21"/>
    </w:r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paragraph" w:customStyle="1" w:styleId="9">
    <w:name w:val="段"/>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sz w:val="21"/>
      <w:szCs w:val="22"/>
      <w:lang w:val="en-US" w:eastAsia="zh-CN" w:bidi="ar-SA"/>
    </w:rPr>
  </w:style>
  <w:style w:type="character" w:customStyle="1" w:styleId="10">
    <w:name w:val="页眉 字符"/>
    <w:basedOn w:val="7"/>
    <w:link w:val="5"/>
    <w:qFormat/>
    <w:uiPriority w:val="99"/>
    <w:rPr>
      <w:rFonts w:ascii="Times New Roman" w:hAnsi="Times New Roman" w:eastAsia="仿宋_GB2312" w:cs="Times New Roman"/>
      <w:kern w:val="2"/>
      <w:sz w:val="18"/>
      <w:szCs w:val="18"/>
    </w:rPr>
  </w:style>
  <w:style w:type="character" w:customStyle="1" w:styleId="11">
    <w:name w:val="纯文本 字符"/>
    <w:basedOn w:val="7"/>
    <w:link w:val="3"/>
    <w:qFormat/>
    <w:uiPriority w:val="0"/>
    <w:rPr>
      <w:rFonts w:ascii="宋体" w:hAnsi="Courier New" w:cs="Courier New"/>
      <w:kern w:val="2"/>
      <w:sz w:val="21"/>
      <w:szCs w:val="21"/>
    </w:rPr>
  </w:style>
  <w:style w:type="character" w:customStyle="1" w:styleId="12">
    <w:name w:val="纯文本 Char1"/>
    <w:basedOn w:val="7"/>
    <w:semiHidden/>
    <w:qFormat/>
    <w:uiPriority w:val="99"/>
    <w:rPr>
      <w:rFonts w:ascii="宋体" w:hAnsi="Courier New" w:eastAsia="宋体" w:cs="Courier New"/>
      <w:kern w:val="2"/>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4</Pages>
  <Words>207</Words>
  <Characters>1182</Characters>
  <Lines>9</Lines>
  <Paragraphs>2</Paragraphs>
  <TotalTime>6</TotalTime>
  <ScaleCrop>false</ScaleCrop>
  <LinksUpToDate>false</LinksUpToDate>
  <CharactersWithSpaces>1387</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2023-08-10T19:28:00Z</dcterms:created>
  <dc:creator>胡少玲</dc:creator>
  <cp:lastModifiedBy>* 飞</cp:lastModifiedBy>
  <dcterms:modified xsi:type="dcterms:W3CDTF">2023-08-11T11:50:20Z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2557874D3FC346119D8B2F0F683B7294</vt:lpwstr>
  </property>
</Properties>
</file>