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80" w:lineRule="exact"/>
        <w:jc w:val="left"/>
        <w:textAlignment w:val="auto"/>
        <w:outlineLvl w:val="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eastAsia="黑体" w:cs="Times New Roman"/>
          <w:sz w:val="32"/>
          <w:szCs w:val="32"/>
          <w:lang w:val="en-US" w:eastAsia="zh-CN"/>
        </w:rPr>
        <w:t>2</w:t>
      </w:r>
      <w:bookmarkStart w:id="0" w:name="_GoBack"/>
      <w:bookmarkEnd w:id="0"/>
    </w:p>
    <w:p>
      <w:pPr>
        <w:pStyle w:val="3"/>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lang w:val="en-US" w:eastAsia="zh-CN"/>
        </w:rPr>
      </w:pPr>
    </w:p>
    <w:p>
      <w:pPr>
        <w:keepNext w:val="0"/>
        <w:keepLines w:val="0"/>
        <w:pageBreakBefore w:val="0"/>
        <w:widowControl/>
        <w:kinsoku/>
        <w:wordWrap/>
        <w:overflowPunct/>
        <w:topLinePunct w:val="0"/>
        <w:bidi w:val="0"/>
        <w:adjustRightInd/>
        <w:snapToGrid/>
        <w:spacing w:line="580" w:lineRule="exact"/>
        <w:jc w:val="center"/>
        <w:textAlignment w:val="auto"/>
        <w:rPr>
          <w:rFonts w:hint="eastAsia" w:ascii="Times New Roman" w:hAnsi="Times New Roman" w:eastAsia="方正小标宋简体" w:cs="方正小标宋简体"/>
          <w:sz w:val="44"/>
          <w:szCs w:val="44"/>
        </w:rPr>
      </w:pPr>
      <w:r>
        <w:rPr>
          <w:rFonts w:hint="eastAsia" w:eastAsia="方正小标宋简体" w:cs="方正小标宋简体"/>
          <w:sz w:val="44"/>
          <w:szCs w:val="44"/>
          <w:lang w:val="en-US" w:eastAsia="zh-CN"/>
        </w:rPr>
        <w:t>茂名市</w:t>
      </w:r>
      <w:r>
        <w:rPr>
          <w:rFonts w:hint="eastAsia" w:ascii="Times New Roman" w:hAnsi="Times New Roman" w:eastAsia="方正小标宋简体" w:cs="方正小标宋简体"/>
          <w:color w:val="000000"/>
          <w:sz w:val="44"/>
          <w:szCs w:val="44"/>
        </w:rPr>
        <w:t>成品油</w:t>
      </w:r>
      <w:r>
        <w:rPr>
          <w:rFonts w:hint="eastAsia" w:ascii="Times New Roman" w:hAnsi="Times New Roman" w:eastAsia="方正小标宋简体" w:cs="方正小标宋简体"/>
          <w:sz w:val="44"/>
          <w:szCs w:val="44"/>
        </w:rPr>
        <w:t>产品质量监督抽查</w:t>
      </w:r>
    </w:p>
    <w:p>
      <w:pPr>
        <w:keepNext w:val="0"/>
        <w:keepLines w:val="0"/>
        <w:pageBreakBefore w:val="0"/>
        <w:widowControl/>
        <w:kinsoku/>
        <w:wordWrap/>
        <w:overflowPunct/>
        <w:topLinePunct w:val="0"/>
        <w:bidi w:val="0"/>
        <w:adjustRightInd/>
        <w:snapToGrid/>
        <w:spacing w:line="580" w:lineRule="exact"/>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（快速检测）实施细则</w:t>
      </w:r>
    </w:p>
    <w:p>
      <w:pPr>
        <w:keepNext w:val="0"/>
        <w:keepLines w:val="0"/>
        <w:pageBreakBefore w:val="0"/>
        <w:kinsoku/>
        <w:wordWrap/>
        <w:overflowPunct/>
        <w:topLinePunct w:val="0"/>
        <w:bidi w:val="0"/>
        <w:adjustRightInd/>
        <w:snapToGrid/>
        <w:spacing w:line="560" w:lineRule="exact"/>
        <w:ind w:firstLine="640" w:firstLineChars="200"/>
        <w:textAlignment w:val="auto"/>
        <w:rPr>
          <w:rFonts w:ascii="黑体" w:hAnsi="黑体" w:eastAsia="黑体" w:cs="黑体"/>
          <w:color w:val="000000"/>
          <w:szCs w:val="32"/>
        </w:rPr>
      </w:pPr>
    </w:p>
    <w:p>
      <w:pPr>
        <w:keepNext w:val="0"/>
        <w:keepLines w:val="0"/>
        <w:pageBreakBefore w:val="0"/>
        <w:kinsoku/>
        <w:wordWrap/>
        <w:overflowPunct/>
        <w:topLinePunct w:val="0"/>
        <w:bidi w:val="0"/>
        <w:adjustRightInd/>
        <w:snapToGrid/>
        <w:spacing w:line="56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bidi w:val="0"/>
        <w:adjustRightInd/>
        <w:snapToGrid/>
        <w:spacing w:line="560" w:lineRule="exact"/>
        <w:ind w:firstLine="640" w:firstLineChars="200"/>
        <w:textAlignment w:val="auto"/>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以随机抽样的方式在被抽样经营者的待销产品中抽取。</w:t>
      </w:r>
    </w:p>
    <w:p>
      <w:pPr>
        <w:keepNext w:val="0"/>
        <w:keepLines w:val="0"/>
        <w:pageBreakBefore w:val="0"/>
        <w:widowControl/>
        <w:kinsoku/>
        <w:wordWrap/>
        <w:overflowPunct/>
        <w:topLinePunct w:val="0"/>
        <w:bidi w:val="0"/>
        <w:adjustRightInd/>
        <w:snapToGrid/>
        <w:spacing w:line="560" w:lineRule="exact"/>
        <w:ind w:firstLine="640" w:firstLineChars="200"/>
        <w:textAlignment w:val="auto"/>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随机数一般可使用随机数表等方法产生。</w:t>
      </w:r>
    </w:p>
    <w:p>
      <w:pPr>
        <w:keepNext w:val="0"/>
        <w:keepLines w:val="0"/>
        <w:pageBreakBefore w:val="0"/>
        <w:widowControl/>
        <w:kinsoku/>
        <w:wordWrap/>
        <w:overflowPunct/>
        <w:topLinePunct w:val="0"/>
        <w:bidi w:val="0"/>
        <w:adjustRightInd/>
        <w:snapToGrid/>
        <w:spacing w:line="560" w:lineRule="exact"/>
        <w:ind w:firstLine="640" w:firstLineChars="200"/>
        <w:textAlignment w:val="auto"/>
        <w:rPr>
          <w:rFonts w:ascii="Times New Roman" w:hAnsi="Times New Roman" w:cs="Times New Roman"/>
          <w:color w:val="000000"/>
          <w:sz w:val="32"/>
          <w:szCs w:val="32"/>
        </w:rPr>
      </w:pPr>
      <w:r>
        <w:rPr>
          <w:rFonts w:ascii="Times New Roman" w:hAnsi="Times New Roman" w:cs="Times New Roman"/>
          <w:color w:val="000000"/>
          <w:kern w:val="0"/>
          <w:sz w:val="32"/>
          <w:szCs w:val="32"/>
        </w:rPr>
        <w:t>抽查数量：</w:t>
      </w:r>
      <w:r>
        <w:rPr>
          <w:rFonts w:hint="eastAsia" w:ascii="Times New Roman" w:hAnsi="Times New Roman" w:cs="Times New Roman"/>
          <w:color w:val="000000"/>
          <w:kern w:val="0"/>
          <w:sz w:val="32"/>
          <w:szCs w:val="32"/>
        </w:rPr>
        <w:t>每款产品抽取1组样本，每组样品量不少于3</w:t>
      </w:r>
      <w:r>
        <w:rPr>
          <w:rFonts w:ascii="Times New Roman" w:hAnsi="Times New Roman" w:cs="Times New Roman"/>
          <w:color w:val="000000"/>
          <w:kern w:val="0"/>
          <w:sz w:val="32"/>
          <w:szCs w:val="32"/>
        </w:rPr>
        <w:t>00</w:t>
      </w:r>
      <w:r>
        <w:rPr>
          <w:rFonts w:hint="eastAsia" w:ascii="Times New Roman" w:hAnsi="Times New Roman" w:cs="Times New Roman"/>
          <w:color w:val="000000"/>
          <w:kern w:val="0"/>
          <w:sz w:val="32"/>
          <w:szCs w:val="32"/>
        </w:rPr>
        <w:t>m</w:t>
      </w:r>
      <w:r>
        <w:rPr>
          <w:rFonts w:ascii="Times New Roman" w:hAnsi="Times New Roman" w:cs="Times New Roman"/>
          <w:color w:val="000000"/>
          <w:kern w:val="0"/>
          <w:sz w:val="32"/>
          <w:szCs w:val="32"/>
        </w:rPr>
        <w:t>L</w:t>
      </w:r>
      <w:r>
        <w:rPr>
          <w:rFonts w:hint="eastAsia" w:ascii="Times New Roman" w:hAnsi="Times New Roman" w:cs="Times New Roman"/>
          <w:color w:val="000000"/>
          <w:kern w:val="0"/>
          <w:sz w:val="32"/>
          <w:szCs w:val="32"/>
        </w:rPr>
        <w:t>。</w:t>
      </w:r>
      <w:r>
        <w:rPr>
          <w:rFonts w:hint="eastAsia" w:ascii="Times New Roman" w:hAnsi="Times New Roman" w:cs="Times New Roman"/>
          <w:color w:val="000000"/>
          <w:sz w:val="32"/>
          <w:szCs w:val="32"/>
        </w:rPr>
        <w:t>具体抽样数量和方法如下</w:t>
      </w:r>
      <w:r>
        <w:rPr>
          <w:rFonts w:ascii="Times New Roman" w:hAnsi="Times New Roman" w:cs="Times New Roman"/>
          <w:color w:val="000000"/>
          <w:sz w:val="32"/>
          <w:szCs w:val="32"/>
        </w:rPr>
        <w:t>：</w:t>
      </w:r>
    </w:p>
    <w:p>
      <w:pPr>
        <w:pStyle w:val="7"/>
        <w:keepNext w:val="0"/>
        <w:keepLines w:val="0"/>
        <w:pageBreakBefore w:val="0"/>
        <w:kinsoku/>
        <w:wordWrap/>
        <w:overflowPunct/>
        <w:topLinePunct w:val="0"/>
        <w:bidi w:val="0"/>
        <w:adjustRightInd/>
        <w:snapToGrid/>
        <w:spacing w:line="56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在生产企业（油库）抽样时，按GB/T 4756-2015《石油液体手工取样法》规定的方法抽取样本；在加油站或燃油供应船舶或燃油供应车辆抽样时，直接在加油机加油枪或加油管出口处（或取样处）随机抽取样本。</w:t>
      </w:r>
    </w:p>
    <w:p>
      <w:pPr>
        <w:pStyle w:val="7"/>
        <w:keepNext w:val="0"/>
        <w:keepLines w:val="0"/>
        <w:pageBreakBefore w:val="0"/>
        <w:kinsoku/>
        <w:wordWrap/>
        <w:overflowPunct/>
        <w:topLinePunct w:val="0"/>
        <w:bidi w:val="0"/>
        <w:adjustRightInd/>
        <w:snapToGrid/>
        <w:spacing w:line="56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抽取样本前，通过油枪或油管将至少4L油品放出，清洗加油管，避免加油管污染样品，同时清洗取样容器至少3次。</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Times New Roman" w:hAnsi="Times New Roman" w:eastAsia="黑体" w:cs="黑体"/>
          <w:color w:val="000000"/>
          <w:sz w:val="32"/>
          <w:szCs w:val="32"/>
        </w:rPr>
      </w:pPr>
    </w:p>
    <w:p>
      <w:pPr>
        <w:keepNext w:val="0"/>
        <w:keepLines w:val="0"/>
        <w:pageBreakBefore w:val="0"/>
        <w:kinsoku/>
        <w:wordWrap/>
        <w:overflowPunct/>
        <w:topLinePunct w:val="0"/>
        <w:bidi w:val="0"/>
        <w:adjustRightInd/>
        <w:snapToGrid/>
        <w:spacing w:line="56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二、主要检验项目及检验项目属性划分</w:t>
      </w:r>
    </w:p>
    <w:p>
      <w:pPr>
        <w:pStyle w:val="7"/>
        <w:keepNext w:val="0"/>
        <w:keepLines w:val="0"/>
        <w:pageBreakBefore w:val="0"/>
        <w:kinsoku/>
        <w:wordWrap/>
        <w:overflowPunct/>
        <w:topLinePunct w:val="0"/>
        <w:bidi w:val="0"/>
        <w:adjustRightInd/>
        <w:snapToGrid/>
        <w:spacing w:line="560" w:lineRule="exact"/>
        <w:ind w:firstLine="64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（一）车用汽油</w:t>
      </w:r>
    </w:p>
    <w:tbl>
      <w:tblPr>
        <w:tblStyle w:val="5"/>
        <w:tblW w:w="9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588"/>
        <w:gridCol w:w="2175"/>
        <w:gridCol w:w="870"/>
        <w:gridCol w:w="1155"/>
        <w:gridCol w:w="945"/>
        <w:gridCol w:w="1075"/>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1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1</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研究法辛烷值</w:t>
            </w:r>
          </w:p>
        </w:tc>
        <w:tc>
          <w:tcPr>
            <w:tcW w:w="2175"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imes New Roman" w:hAnsi="Times New Roman" w:eastAsia="宋体" w:cs="Times New Roman"/>
                <w:sz w:val="21"/>
                <w:lang w:val="en-US" w:eastAsia="zh-CN"/>
              </w:rPr>
            </w:pPr>
            <w:r>
              <w:rPr>
                <w:rFonts w:ascii="宋体" w:hAnsi="宋体" w:eastAsia="宋体" w:cs="宋体"/>
                <w:kern w:val="0"/>
                <w:sz w:val="21"/>
                <w:szCs w:val="21"/>
              </w:rPr>
              <w:t>T</w:t>
            </w:r>
            <w:r>
              <w:rPr>
                <w:rFonts w:hint="eastAsia" w:ascii="宋体" w:hAnsi="宋体" w:eastAsia="宋体" w:cs="宋体"/>
                <w:kern w:val="0"/>
                <w:sz w:val="21"/>
                <w:szCs w:val="21"/>
              </w:rPr>
              <w:t>/</w:t>
            </w:r>
            <w:r>
              <w:rPr>
                <w:rFonts w:ascii="宋体" w:hAnsi="宋体" w:eastAsia="宋体" w:cs="宋体"/>
                <w:kern w:val="0"/>
                <w:sz w:val="21"/>
                <w:szCs w:val="21"/>
              </w:rPr>
              <w:t>CAQI 232-2021</w:t>
            </w:r>
            <w:r>
              <w:rPr>
                <w:rFonts w:hint="eastAsia" w:ascii="宋体" w:hAnsi="宋体" w:eastAsia="宋体" w:cs="宋体"/>
                <w:kern w:val="0"/>
                <w:sz w:val="21"/>
                <w:szCs w:val="21"/>
              </w:rPr>
              <w:t>、T/GPCIA 0006—2022</w:t>
            </w:r>
            <w:r>
              <w:rPr>
                <w:rFonts w:hint="eastAsia" w:ascii="宋体" w:hAnsi="宋体" w:eastAsia="宋体" w:cs="宋体"/>
                <w:kern w:val="0"/>
                <w:sz w:val="21"/>
                <w:szCs w:val="21"/>
                <w:lang w:val="en-US" w:eastAsia="zh-CN"/>
              </w:rPr>
              <w:t>、</w:t>
            </w:r>
            <w:r>
              <w:rPr>
                <w:rFonts w:hint="eastAsia" w:ascii="宋体" w:hAnsi="宋体" w:eastAsia="宋体" w:cs="宋体"/>
                <w:sz w:val="21"/>
                <w:szCs w:val="21"/>
              </w:rPr>
              <w:t>SH.HY-043-2022</w:t>
            </w: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2</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硫含量</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3</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苯含量</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4</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芳烃含量</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5</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烯烃含量</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6</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氧含量</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hint="eastAsia" w:ascii="Times New Roman" w:hAnsi="Times New Roman" w:eastAsia="宋体" w:cs="Times New Roman"/>
                <w:sz w:val="21"/>
              </w:rPr>
              <w:t>7</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密度</w:t>
            </w:r>
            <w:r>
              <w:rPr>
                <w:rFonts w:hint="eastAsia" w:ascii="Times New Roman" w:hAnsi="Times New Roman" w:eastAsia="宋体" w:cs="Times New Roman"/>
                <w:sz w:val="21"/>
                <w:lang w:eastAsia="zh-CN"/>
              </w:rPr>
              <w:t>（</w:t>
            </w:r>
            <w:r>
              <w:rPr>
                <w:rFonts w:ascii="Times New Roman" w:hAnsi="Times New Roman" w:eastAsia="宋体" w:cs="Times New Roman"/>
                <w:sz w:val="21"/>
              </w:rPr>
              <w:t>20℃</w:t>
            </w:r>
            <w:r>
              <w:rPr>
                <w:rFonts w:hint="eastAsia" w:ascii="Times New Roman" w:hAnsi="Times New Roman" w:eastAsia="宋体" w:cs="Times New Roman"/>
                <w:sz w:val="21"/>
                <w:lang w:eastAsia="zh-CN"/>
              </w:rPr>
              <w:t>）</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8</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蒸气压</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kern w:val="2"/>
                <w:sz w:val="21"/>
                <w:szCs w:val="24"/>
                <w:lang w:val="en-US" w:eastAsia="zh-CN" w:bidi="ar-SA"/>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kern w:val="2"/>
                <w:sz w:val="21"/>
                <w:szCs w:val="24"/>
                <w:lang w:val="en-US" w:eastAsia="zh-CN" w:bidi="ar-SA"/>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kern w:val="2"/>
                <w:sz w:val="21"/>
                <w:szCs w:val="24"/>
                <w:lang w:val="en-US" w:eastAsia="zh-CN" w:bidi="ar-SA"/>
              </w:rPr>
            </w:pPr>
            <w:r>
              <w:rPr>
                <w:rFonts w:ascii="Times New Roman" w:hAnsi="Times New Roman" w:eastAsia="宋体" w:cs="Times New Roman"/>
                <w:sz w:val="21"/>
              </w:rPr>
              <w:t>●</w:t>
            </w: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bl>
    <w:p>
      <w:pPr>
        <w:pStyle w:val="7"/>
        <w:keepNext w:val="0"/>
        <w:keepLines w:val="0"/>
        <w:pageBreakBefore w:val="0"/>
        <w:widowControl/>
        <w:kinsoku/>
        <w:wordWrap/>
        <w:overflowPunct/>
        <w:topLinePunct w:val="0"/>
        <w:autoSpaceDE w:val="0"/>
        <w:autoSpaceDN w:val="0"/>
        <w:bidi w:val="0"/>
        <w:adjustRightInd/>
        <w:snapToGrid/>
        <w:spacing w:line="590" w:lineRule="exact"/>
        <w:ind w:firstLine="64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（二）车用柴油</w:t>
      </w:r>
    </w:p>
    <w:tbl>
      <w:tblPr>
        <w:tblStyle w:val="5"/>
        <w:tblW w:w="97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1515"/>
        <w:gridCol w:w="2780"/>
        <w:gridCol w:w="885"/>
        <w:gridCol w:w="1050"/>
        <w:gridCol w:w="870"/>
        <w:gridCol w:w="1050"/>
        <w:gridCol w:w="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78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硫含量</w:t>
            </w:r>
          </w:p>
        </w:tc>
        <w:tc>
          <w:tcPr>
            <w:tcW w:w="2780" w:type="dxa"/>
            <w:vMerge w:val="restart"/>
            <w:noWrap w:val="0"/>
            <w:vAlign w:val="center"/>
          </w:tcPr>
          <w:p>
            <w:pPr>
              <w:pStyle w:val="11"/>
              <w:keepLines w:val="0"/>
              <w:kinsoku/>
              <w:wordWrap/>
              <w:overflowPunct/>
              <w:topLinePunct w:val="0"/>
              <w:autoSpaceDE/>
              <w:autoSpaceDN/>
              <w:bidi w:val="0"/>
              <w:adjustRightInd/>
              <w:snapToGrid/>
              <w:spacing w:before="0" w:after="0" w:line="300" w:lineRule="exact"/>
              <w:textAlignment w:val="auto"/>
              <w:rPr>
                <w:rFonts w:ascii="Times New Roman" w:eastAsia="宋体" w:cs="Times New Roman"/>
                <w:kern w:val="2"/>
                <w:sz w:val="21"/>
                <w:szCs w:val="21"/>
              </w:rPr>
            </w:pPr>
            <w:r>
              <w:rPr>
                <w:rFonts w:ascii="宋体" w:hAnsi="宋体" w:eastAsia="宋体" w:cs="宋体"/>
                <w:sz w:val="21"/>
                <w:szCs w:val="21"/>
              </w:rPr>
              <w:t>T</w:t>
            </w:r>
            <w:r>
              <w:rPr>
                <w:rFonts w:hint="eastAsia" w:ascii="宋体" w:hAnsi="宋体" w:eastAsia="宋体" w:cs="宋体"/>
                <w:sz w:val="21"/>
                <w:szCs w:val="21"/>
              </w:rPr>
              <w:t>/</w:t>
            </w:r>
            <w:r>
              <w:rPr>
                <w:rFonts w:ascii="宋体" w:hAnsi="宋体" w:eastAsia="宋体" w:cs="宋体"/>
                <w:sz w:val="21"/>
                <w:szCs w:val="21"/>
              </w:rPr>
              <w:t>CAQI 23</w:t>
            </w:r>
            <w:r>
              <w:rPr>
                <w:rFonts w:hint="eastAsia" w:ascii="宋体" w:hAnsi="宋体" w:eastAsia="宋体" w:cs="宋体"/>
                <w:sz w:val="21"/>
                <w:szCs w:val="21"/>
              </w:rPr>
              <w:t>3</w:t>
            </w:r>
            <w:r>
              <w:rPr>
                <w:rFonts w:ascii="宋体" w:hAnsi="宋体" w:eastAsia="宋体" w:cs="宋体"/>
                <w:sz w:val="21"/>
                <w:szCs w:val="21"/>
              </w:rPr>
              <w:t>-2021</w:t>
            </w:r>
            <w:r>
              <w:rPr>
                <w:rFonts w:hint="eastAsia" w:ascii="宋体" w:hAnsi="宋体" w:eastAsia="宋体" w:cs="宋体"/>
                <w:sz w:val="21"/>
                <w:szCs w:val="21"/>
              </w:rPr>
              <w:t>、T/GPCIA 0007—2022</w:t>
            </w:r>
            <w:r>
              <w:rPr>
                <w:rFonts w:hint="eastAsia" w:ascii="宋体" w:hAnsi="宋体" w:eastAsia="宋体" w:cs="宋体"/>
                <w:sz w:val="21"/>
                <w:szCs w:val="21"/>
                <w:lang w:val="en-US" w:eastAsia="zh-CN"/>
              </w:rPr>
              <w:t>、</w:t>
            </w:r>
            <w:r>
              <w:rPr>
                <w:rFonts w:ascii="宋体" w:hAnsi="宋体" w:eastAsia="宋体" w:cs="宋体"/>
                <w:sz w:val="21"/>
                <w:szCs w:val="21"/>
              </w:rPr>
              <w:t>SH.HY-0</w:t>
            </w:r>
            <w:r>
              <w:rPr>
                <w:rFonts w:hint="eastAsia" w:ascii="宋体" w:hAnsi="宋体" w:eastAsia="宋体" w:cs="宋体"/>
                <w:sz w:val="21"/>
                <w:szCs w:val="21"/>
              </w:rPr>
              <w:t>44</w:t>
            </w:r>
            <w:r>
              <w:rPr>
                <w:rFonts w:ascii="宋体" w:hAnsi="宋体" w:eastAsia="宋体" w:cs="宋体"/>
                <w:sz w:val="21"/>
                <w:szCs w:val="21"/>
              </w:rPr>
              <w:t>-202</w:t>
            </w:r>
            <w:r>
              <w:rPr>
                <w:rFonts w:hint="eastAsia" w:ascii="宋体" w:hAnsi="宋体" w:eastAsia="宋体" w:cs="宋体"/>
                <w:sz w:val="21"/>
                <w:szCs w:val="21"/>
              </w:rPr>
              <w:t>2</w:t>
            </w: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凝点</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闪点（闭口）</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十六烷值</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5</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十六烷指数</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6</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密度</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rPr>
              <w:t>20℃</w:t>
            </w:r>
            <w:r>
              <w:rPr>
                <w:rFonts w:hint="eastAsia" w:ascii="Times New Roman" w:hAnsi="Times New Roman" w:eastAsia="宋体" w:cs="Times New Roman"/>
                <w:sz w:val="21"/>
                <w:szCs w:val="21"/>
                <w:lang w:eastAsia="zh-CN"/>
              </w:rPr>
              <w:t>）</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7</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冷滤点</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8</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多环芳烃</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9</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馏程</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bl>
    <w:p>
      <w:pPr>
        <w:pStyle w:val="7"/>
        <w:spacing w:line="590" w:lineRule="exact"/>
        <w:ind w:firstLine="640"/>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（三）船用燃料油(内河船用燃料油）</w:t>
      </w:r>
    </w:p>
    <w:tbl>
      <w:tblPr>
        <w:tblStyle w:val="5"/>
        <w:tblW w:w="97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1945"/>
        <w:gridCol w:w="1955"/>
        <w:gridCol w:w="885"/>
        <w:gridCol w:w="1050"/>
        <w:gridCol w:w="975"/>
        <w:gridCol w:w="1080"/>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8"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94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195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97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08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47"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8"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194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硫含量</w:t>
            </w:r>
          </w:p>
        </w:tc>
        <w:tc>
          <w:tcPr>
            <w:tcW w:w="1955" w:type="dxa"/>
            <w:vMerge w:val="restart"/>
            <w:noWrap w:val="0"/>
            <w:vAlign w:val="center"/>
          </w:tcPr>
          <w:p>
            <w:pPr>
              <w:pStyle w:val="11"/>
              <w:keepLines w:val="0"/>
              <w:kinsoku/>
              <w:wordWrap/>
              <w:overflowPunct/>
              <w:topLinePunct w:val="0"/>
              <w:autoSpaceDE/>
              <w:autoSpaceDN/>
              <w:bidi w:val="0"/>
              <w:adjustRightInd/>
              <w:snapToGrid/>
              <w:spacing w:before="0" w:after="0" w:line="300" w:lineRule="exact"/>
              <w:textAlignment w:val="auto"/>
              <w:rPr>
                <w:rFonts w:ascii="Times New Roman" w:eastAsia="宋体" w:cs="Times New Roman"/>
                <w:sz w:val="21"/>
                <w:szCs w:val="21"/>
              </w:rPr>
            </w:pPr>
            <w:r>
              <w:rPr>
                <w:rFonts w:ascii="Times New Roman" w:eastAsia="宋体" w:cs="Times New Roman"/>
                <w:kern w:val="2"/>
                <w:sz w:val="21"/>
                <w:szCs w:val="21"/>
              </w:rPr>
              <w:t>SH.HY-</w:t>
            </w:r>
            <w:r>
              <w:rPr>
                <w:rFonts w:hint="eastAsia" w:ascii="Times New Roman" w:eastAsia="宋体" w:cs="Times New Roman"/>
                <w:kern w:val="2"/>
                <w:sz w:val="21"/>
                <w:szCs w:val="21"/>
              </w:rPr>
              <w:t>045</w:t>
            </w:r>
            <w:r>
              <w:rPr>
                <w:rFonts w:ascii="Times New Roman" w:eastAsia="宋体" w:cs="Times New Roman"/>
                <w:kern w:val="2"/>
                <w:sz w:val="21"/>
                <w:szCs w:val="21"/>
              </w:rPr>
              <w:t>-202</w:t>
            </w:r>
            <w:r>
              <w:rPr>
                <w:rFonts w:hint="eastAsia" w:ascii="Times New Roman" w:eastAsia="宋体" w:cs="Times New Roman"/>
                <w:kern w:val="2"/>
                <w:sz w:val="21"/>
                <w:szCs w:val="21"/>
              </w:rPr>
              <w:t>2</w:t>
            </w: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8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47"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8"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194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闪点（闭口）</w:t>
            </w:r>
          </w:p>
        </w:tc>
        <w:tc>
          <w:tcPr>
            <w:tcW w:w="1955"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8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47"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78"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194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密度</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rPr>
              <w:t>20℃</w:t>
            </w:r>
            <w:r>
              <w:rPr>
                <w:rFonts w:hint="eastAsia" w:ascii="Times New Roman" w:hAnsi="Times New Roman" w:eastAsia="宋体" w:cs="Times New Roman"/>
                <w:sz w:val="21"/>
                <w:szCs w:val="21"/>
                <w:lang w:eastAsia="zh-CN"/>
              </w:rPr>
              <w:t>）</w:t>
            </w:r>
          </w:p>
        </w:tc>
        <w:tc>
          <w:tcPr>
            <w:tcW w:w="1955"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108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947"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eastAsia="宋体" w:cs="宋体"/>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560" w:lineRule="exact"/>
        <w:ind w:firstLine="640" w:firstLineChars="200"/>
        <w:jc w:val="both"/>
        <w:textAlignment w:val="auto"/>
        <w:rPr>
          <w:rFonts w:hint="eastAsia" w:ascii="Times New Roman" w:hAnsi="Times New Roman" w:eastAsia="黑体" w:cs="黑体"/>
          <w:sz w:val="32"/>
          <w:szCs w:val="32"/>
        </w:rPr>
      </w:pPr>
    </w:p>
    <w:p>
      <w:pPr>
        <w:keepNext w:val="0"/>
        <w:keepLines w:val="0"/>
        <w:pageBreakBefore w:val="0"/>
        <w:kinsoku/>
        <w:wordWrap/>
        <w:overflowPunct/>
        <w:topLinePunct w:val="0"/>
        <w:bidi w:val="0"/>
        <w:adjustRightInd/>
        <w:spacing w:line="560" w:lineRule="exact"/>
        <w:ind w:firstLine="640" w:firstLineChars="200"/>
        <w:jc w:val="both"/>
        <w:textAlignment w:val="auto"/>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bidi w:val="0"/>
        <w:adjustRightInd/>
        <w:spacing w:line="560" w:lineRule="exact"/>
        <w:ind w:firstLine="640" w:firstLineChars="200"/>
        <w:jc w:val="both"/>
        <w:textAlignment w:val="auto"/>
        <w:rPr>
          <w:rFonts w:ascii="Times New Roman" w:hAnsi="Times New Roman" w:eastAsia="楷体_GB2312" w:cs="楷体_GB2312"/>
          <w:kern w:val="0"/>
          <w:sz w:val="32"/>
          <w:szCs w:val="32"/>
        </w:rPr>
      </w:pPr>
      <w:r>
        <w:rPr>
          <w:rFonts w:hint="eastAsia" w:ascii="Times New Roman" w:hAnsi="Times New Roman" w:eastAsia="楷体_GB2312" w:cs="楷体_GB2312"/>
          <w:sz w:val="32"/>
          <w:szCs w:val="32"/>
        </w:rPr>
        <w:t>（一）</w:t>
      </w:r>
      <w:r>
        <w:rPr>
          <w:rFonts w:hint="eastAsia" w:ascii="Times New Roman" w:hAnsi="Times New Roman" w:eastAsia="楷体_GB2312" w:cs="楷体_GB2312"/>
          <w:kern w:val="0"/>
          <w:sz w:val="32"/>
          <w:szCs w:val="32"/>
        </w:rPr>
        <w:t>依据标准</w:t>
      </w:r>
    </w:p>
    <w:p>
      <w:pPr>
        <w:pStyle w:val="7"/>
        <w:keepNext w:val="0"/>
        <w:keepLines w:val="0"/>
        <w:pageBreakBefore w:val="0"/>
        <w:kinsoku/>
        <w:wordWrap/>
        <w:overflowPunct/>
        <w:topLinePunct w:val="0"/>
        <w:bidi w:val="0"/>
        <w:adjustRightInd/>
        <w:spacing w:line="560" w:lineRule="exact"/>
        <w:ind w:firstLine="64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GB 17930-2016</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车用汽油</w:t>
      </w:r>
      <w:r>
        <w:rPr>
          <w:rFonts w:hint="eastAsia" w:ascii="Times New Roman" w:hAnsi="Times New Roman" w:eastAsia="仿宋_GB2312" w:cs="仿宋_GB2312"/>
          <w:sz w:val="32"/>
          <w:szCs w:val="32"/>
          <w:lang w:eastAsia="zh-CN"/>
        </w:rPr>
        <w:t>》</w:t>
      </w:r>
    </w:p>
    <w:p>
      <w:pPr>
        <w:pStyle w:val="7"/>
        <w:keepNext w:val="0"/>
        <w:keepLines w:val="0"/>
        <w:pageBreakBefore w:val="0"/>
        <w:kinsoku/>
        <w:wordWrap/>
        <w:overflowPunct/>
        <w:topLinePunct w:val="0"/>
        <w:bidi w:val="0"/>
        <w:adjustRightInd/>
        <w:spacing w:line="560" w:lineRule="exact"/>
        <w:ind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 19147-2016</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车用柴油</w:t>
      </w:r>
      <w:r>
        <w:rPr>
          <w:rFonts w:hint="eastAsia" w:ascii="Times New Roman" w:hAnsi="Times New Roman" w:eastAsia="仿宋_GB2312" w:cs="仿宋_GB2312"/>
          <w:sz w:val="32"/>
          <w:szCs w:val="32"/>
          <w:lang w:eastAsia="zh-CN"/>
        </w:rPr>
        <w:t>》</w:t>
      </w:r>
    </w:p>
    <w:p>
      <w:pPr>
        <w:pStyle w:val="7"/>
        <w:keepNext w:val="0"/>
        <w:keepLines w:val="0"/>
        <w:pageBreakBefore w:val="0"/>
        <w:kinsoku/>
        <w:wordWrap/>
        <w:overflowPunct/>
        <w:topLinePunct w:val="0"/>
        <w:bidi w:val="0"/>
        <w:adjustRightInd/>
        <w:spacing w:line="560" w:lineRule="exact"/>
        <w:ind w:firstLine="640"/>
        <w:jc w:val="both"/>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19147-2016</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车用柴油</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含</w:t>
      </w:r>
      <w:r>
        <w:rPr>
          <w:rFonts w:hint="eastAsia" w:ascii="Times New Roman" w:hAnsi="Times New Roman" w:eastAsia="仿宋_GB2312" w:cs="仿宋_GB2312"/>
          <w:sz w:val="32"/>
          <w:szCs w:val="32"/>
        </w:rPr>
        <w:t>第1号修改单</w:t>
      </w:r>
      <w:r>
        <w:rPr>
          <w:rFonts w:hint="eastAsia" w:ascii="Times New Roman" w:hAnsi="Times New Roman" w:eastAsia="仿宋_GB2312" w:cs="仿宋_GB2312"/>
          <w:sz w:val="32"/>
          <w:szCs w:val="32"/>
          <w:lang w:eastAsia="zh-CN"/>
        </w:rPr>
        <w:t>）</w:t>
      </w:r>
    </w:p>
    <w:p>
      <w:pPr>
        <w:pStyle w:val="7"/>
        <w:keepNext w:val="0"/>
        <w:keepLines w:val="0"/>
        <w:pageBreakBefore w:val="0"/>
        <w:kinsoku/>
        <w:wordWrap/>
        <w:overflowPunct/>
        <w:topLinePunct w:val="0"/>
        <w:bidi w:val="0"/>
        <w:adjustRightInd/>
        <w:spacing w:line="560" w:lineRule="exact"/>
        <w:ind w:firstLine="640"/>
        <w:jc w:val="both"/>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17411-2015</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船用燃料油</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含</w:t>
      </w:r>
      <w:r>
        <w:rPr>
          <w:rFonts w:hint="eastAsia" w:ascii="Times New Roman" w:hAnsi="Times New Roman" w:eastAsia="仿宋_GB2312" w:cs="仿宋_GB2312"/>
          <w:sz w:val="32"/>
          <w:szCs w:val="32"/>
        </w:rPr>
        <w:t>第1号修改单</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eastAsia="zh-CN"/>
        </w:rPr>
      </w:pPr>
      <w:r>
        <w:rPr>
          <w:rFonts w:hint="eastAsia" w:ascii="Times New Roman" w:hAnsi="Times New Roman" w:cs="Times New Roman"/>
          <w:sz w:val="32"/>
          <w:szCs w:val="32"/>
        </w:rPr>
        <w:t>现行有效的企业标准、团体标准、地方标准及产品明示质量要求</w:t>
      </w:r>
      <w:r>
        <w:rPr>
          <w:rFonts w:hint="eastAsia" w:ascii="Times New Roman" w:hAnsi="Times New Roman" w:cs="Times New Roman"/>
          <w:sz w:val="32"/>
          <w:szCs w:val="32"/>
          <w:lang w:eastAsia="zh-CN"/>
        </w:rPr>
        <w:t>。</w:t>
      </w:r>
    </w:p>
    <w:p>
      <w:pPr>
        <w:keepNext w:val="0"/>
        <w:keepLines w:val="0"/>
        <w:pageBreakBefore w:val="0"/>
        <w:widowControl/>
        <w:kinsoku/>
        <w:wordWrap/>
        <w:overflowPunct/>
        <w:topLinePunct w:val="0"/>
        <w:bidi w:val="0"/>
        <w:adjustRightInd/>
        <w:spacing w:line="560" w:lineRule="exact"/>
        <w:ind w:firstLine="640" w:firstLineChars="200"/>
        <w:jc w:val="both"/>
        <w:textAlignment w:val="auto"/>
        <w:rPr>
          <w:rFonts w:ascii="Times New Roman" w:hAnsi="Times New Roman" w:eastAsia="楷体_GB2312" w:cs="Times New Roman"/>
          <w:bCs/>
          <w:kern w:val="0"/>
          <w:sz w:val="32"/>
          <w:szCs w:val="32"/>
        </w:rPr>
      </w:pPr>
      <w:r>
        <w:rPr>
          <w:rFonts w:ascii="Times New Roman" w:hAnsi="Times New Roman" w:eastAsia="楷体_GB2312" w:cs="Times New Roman"/>
          <w:bCs/>
          <w:kern w:val="0"/>
          <w:sz w:val="32"/>
          <w:szCs w:val="32"/>
        </w:rPr>
        <w:t>（二）判定原则</w:t>
      </w:r>
    </w:p>
    <w:p>
      <w:pPr>
        <w:keepNext w:val="0"/>
        <w:keepLines w:val="0"/>
        <w:pageBreakBefore w:val="0"/>
        <w:kinsoku/>
        <w:wordWrap/>
        <w:overflowPunct/>
        <w:topLinePunct w:val="0"/>
        <w:bidi w:val="0"/>
        <w:adjustRightInd/>
        <w:snapToGrid w:val="0"/>
        <w:spacing w:line="560" w:lineRule="exact"/>
        <w:ind w:firstLine="640" w:firstLineChars="200"/>
        <w:jc w:val="both"/>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经检验，检验项目全部合格，判定为抽取的样本所检项目未检出不合格；检验项目中任一项或一项以上不合格，判定为被抽查产品疑似不合格。</w:t>
      </w:r>
    </w:p>
    <w:p>
      <w:pPr>
        <w:pStyle w:val="7"/>
        <w:keepNext w:val="0"/>
        <w:keepLines w:val="0"/>
        <w:pageBreakBefore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7"/>
        <w:keepNext w:val="0"/>
        <w:keepLines w:val="0"/>
        <w:pageBreakBefore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7"/>
        <w:keepNext w:val="0"/>
        <w:keepLines w:val="0"/>
        <w:pageBreakBefore w:val="0"/>
        <w:widowControl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7"/>
        <w:keepNext w:val="0"/>
        <w:keepLines w:val="0"/>
        <w:pageBreakBefore w:val="0"/>
        <w:widowControl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7"/>
        <w:keepNext w:val="0"/>
        <w:keepLines w:val="0"/>
        <w:pageBreakBefore w:val="0"/>
        <w:widowControl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7"/>
        <w:keepNext w:val="0"/>
        <w:keepLines w:val="0"/>
        <w:pageBreakBefore w:val="0"/>
        <w:widowControl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7"/>
        <w:keepNext w:val="0"/>
        <w:keepLines w:val="0"/>
        <w:pageBreakBefore w:val="0"/>
        <w:widowControl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7"/>
        <w:keepNext w:val="0"/>
        <w:keepLines w:val="0"/>
        <w:pageBreakBefore w:val="0"/>
        <w:tabs>
          <w:tab w:val="clear" w:pos="4201"/>
          <w:tab w:val="clear" w:pos="9298"/>
        </w:tabs>
        <w:kinsoku/>
        <w:wordWrap/>
        <w:overflowPunct/>
        <w:topLinePunct w:val="0"/>
        <w:bidi w:val="0"/>
        <w:adjustRightInd/>
        <w:spacing w:line="560" w:lineRule="exact"/>
        <w:ind w:firstLine="640"/>
        <w:jc w:val="both"/>
        <w:textAlignment w:val="auto"/>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sectPr>
      <w:pgSz w:w="11906" w:h="16838"/>
      <w:pgMar w:top="161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5MjFlZTA4YWQzODNhNjgxNGE3MWU0MWFjMmQ2MjEifQ=="/>
  </w:docVars>
  <w:rsids>
    <w:rsidRoot w:val="092613A7"/>
    <w:rsid w:val="089F6304"/>
    <w:rsid w:val="092613A7"/>
    <w:rsid w:val="1D3E6D73"/>
    <w:rsid w:val="20834731"/>
    <w:rsid w:val="2493143D"/>
    <w:rsid w:val="25E96869"/>
    <w:rsid w:val="27E9507C"/>
    <w:rsid w:val="2EAF7C42"/>
    <w:rsid w:val="345B2D99"/>
    <w:rsid w:val="54BD7A7B"/>
    <w:rsid w:val="5CB84982"/>
    <w:rsid w:val="61D001E1"/>
    <w:rsid w:val="6EB7668B"/>
    <w:rsid w:val="755A68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jc w:val="center"/>
      <w:outlineLvl w:val="0"/>
    </w:pPr>
    <w:rPr>
      <w:rFonts w:ascii="方正小标宋简体" w:eastAsia="方正小标宋简体"/>
      <w:kern w:val="44"/>
      <w:sz w:val="3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Plain Text"/>
    <w:unhideWhenUsed/>
    <w:qFormat/>
    <w:uiPriority w:val="99"/>
    <w:pPr>
      <w:widowControl w:val="0"/>
      <w:jc w:val="both"/>
    </w:pPr>
    <w:rPr>
      <w:rFonts w:ascii="宋体" w:hAnsi="Courier New" w:eastAsia="宋体" w:cs="Courier New"/>
      <w:kern w:val="2"/>
      <w:sz w:val="30"/>
      <w:szCs w:val="24"/>
      <w:lang w:val="en-US" w:eastAsia="zh-CN" w:bidi="ar-SA"/>
    </w:rPr>
  </w:style>
  <w:style w:type="paragraph" w:styleId="4">
    <w:name w:val="HTML Preformatted"/>
    <w:qFormat/>
    <w:uiPriority w:val="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7">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0"/>
      <w:sz w:val="21"/>
      <w:szCs w:val="22"/>
      <w:lang w:val="en-US" w:eastAsia="zh-CN" w:bidi="ar-SA"/>
    </w:rPr>
  </w:style>
  <w:style w:type="paragraph" w:customStyle="1" w:styleId="8">
    <w:name w:val="列出段落2"/>
    <w:qFormat/>
    <w:uiPriority w:val="0"/>
    <w:pPr>
      <w:widowControl w:val="0"/>
      <w:ind w:firstLine="420" w:firstLineChars="200"/>
      <w:jc w:val="both"/>
    </w:pPr>
    <w:rPr>
      <w:rFonts w:ascii="Times New Roman" w:hAnsi="Times New Roman" w:eastAsia="仿宋_GB2312" w:cs="Times New Roman"/>
      <w:kern w:val="2"/>
      <w:sz w:val="30"/>
      <w:szCs w:val="24"/>
      <w:lang w:val="en-US" w:eastAsia="zh-CN" w:bidi="ar-SA"/>
    </w:rPr>
  </w:style>
  <w:style w:type="paragraph" w:customStyle="1" w:styleId="9">
    <w:name w:val="Table Paragraph"/>
    <w:qFormat/>
    <w:uiPriority w:val="99"/>
    <w:pPr>
      <w:widowControl w:val="0"/>
      <w:jc w:val="both"/>
    </w:pPr>
    <w:rPr>
      <w:rFonts w:ascii="Times New Roman" w:hAnsi="Times New Roman" w:eastAsia="仿宋_GB2312" w:cs="Times New Roman"/>
      <w:kern w:val="2"/>
      <w:sz w:val="30"/>
      <w:szCs w:val="24"/>
      <w:lang w:val="en-US" w:eastAsia="zh-CN" w:bidi="ar-SA"/>
    </w:rPr>
  </w:style>
  <w:style w:type="table" w:customStyle="1" w:styleId="10">
    <w:name w:val="Table Normal"/>
    <w:unhideWhenUsed/>
    <w:qFormat/>
    <w:uiPriority w:val="0"/>
    <w:tblPr>
      <w:tblCellMar>
        <w:top w:w="0" w:type="dxa"/>
        <w:left w:w="0" w:type="dxa"/>
        <w:bottom w:w="0" w:type="dxa"/>
        <w:right w:w="0" w:type="dxa"/>
      </w:tblCellMar>
    </w:tblPr>
  </w:style>
  <w:style w:type="paragraph" w:customStyle="1" w:styleId="11">
    <w:name w:val="目次、标准名称标题"/>
    <w:next w:val="7"/>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0"/>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其他省直机关单位</Company>
  <Pages>3</Pages>
  <Words>1248</Words>
  <Characters>1397</Characters>
  <Lines>0</Lines>
  <Paragraphs>0</Paragraphs>
  <TotalTime>0</TotalTime>
  <ScaleCrop>false</ScaleCrop>
  <LinksUpToDate>false</LinksUpToDate>
  <CharactersWithSpaces>1406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2023-04-23T09:41:00Z</dcterms:created>
  <dc:creator>胡翌婧</dc:creator>
  <cp:lastModifiedBy>风</cp:lastModifiedBy>
  <dcterms:modified xsi:type="dcterms:W3CDTF">2023-07-27T03:07:46Z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A8BB0039D0C64CF7BD915FCC2356F754_12</vt:lpwstr>
  </property>
</Properties>
</file>