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bidi w:val="0"/>
        <w:adjustRightInd/>
        <w:snapToGrid/>
        <w:spacing w:line="580" w:lineRule="exact"/>
        <w:jc w:val="left"/>
        <w:textAlignment w:val="auto"/>
        <w:rPr>
          <w:rFonts w:hint="default" w:eastAsia="方正小标宋简体" w:cs="方正小标宋简体"/>
          <w:sz w:val="44"/>
          <w:szCs w:val="44"/>
          <w:lang w:val="en-US" w:eastAsia="zh-CN"/>
        </w:rPr>
      </w:pPr>
      <w:r>
        <w:rPr>
          <w:rFonts w:hint="default" w:ascii="Times New Roman" w:hAnsi="Times New Roman" w:eastAsia="黑体" w:cs="Times New Roman"/>
          <w:sz w:val="32"/>
          <w:szCs w:val="32"/>
          <w:lang w:eastAsia="zh-CN"/>
        </w:rPr>
        <w:t>附件</w:t>
      </w:r>
      <w:r>
        <w:rPr>
          <w:rFonts w:hint="eastAsia" w:eastAsia="黑体" w:cs="Times New Roman"/>
          <w:sz w:val="32"/>
          <w:szCs w:val="32"/>
          <w:lang w:val="en-US" w:eastAsia="zh-CN"/>
        </w:rPr>
        <w:t>1</w:t>
      </w:r>
    </w:p>
    <w:p>
      <w:pPr>
        <w:widowControl/>
        <w:spacing w:line="600" w:lineRule="exact"/>
        <w:jc w:val="center"/>
        <w:rPr>
          <w:rFonts w:eastAsia="方正小标宋简体"/>
          <w:sz w:val="44"/>
          <w:szCs w:val="44"/>
        </w:rPr>
      </w:pPr>
      <w:r>
        <w:rPr>
          <w:rFonts w:hint="eastAsia" w:eastAsia="方正小标宋简体" w:cs="方正小标宋简体"/>
          <w:color w:val="000000"/>
          <w:sz w:val="44"/>
          <w:szCs w:val="44"/>
        </w:rPr>
        <w:t>成品油</w:t>
      </w:r>
      <w:r>
        <w:rPr>
          <w:rFonts w:hint="eastAsia" w:eastAsia="方正小标宋简体" w:cs="方正小标宋简体"/>
          <w:sz w:val="44"/>
          <w:szCs w:val="44"/>
        </w:rPr>
        <w:t>产品质量监督抽查</w:t>
      </w:r>
      <w:bookmarkStart w:id="0" w:name="_GoBack"/>
      <w:bookmarkEnd w:id="0"/>
      <w:r>
        <w:rPr>
          <w:rFonts w:hint="eastAsia" w:eastAsia="方正小标宋简体" w:cs="方正小标宋简体"/>
          <w:sz w:val="44"/>
          <w:szCs w:val="44"/>
        </w:rPr>
        <w:t>实施细则</w:t>
      </w:r>
    </w:p>
    <w:p>
      <w:pPr>
        <w:spacing w:line="520" w:lineRule="exact"/>
        <w:ind w:firstLine="640" w:firstLineChars="200"/>
        <w:rPr>
          <w:rFonts w:ascii="黑体" w:hAnsi="黑体" w:eastAsia="黑体" w:cs="黑体"/>
          <w:color w:val="000000"/>
          <w:szCs w:val="32"/>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color w:val="000000"/>
          <w:kern w:val="0"/>
          <w:sz w:val="32"/>
          <w:szCs w:val="32"/>
        </w:rPr>
      </w:pPr>
      <w:r>
        <w:rPr>
          <w:color w:val="000000"/>
          <w:kern w:val="0"/>
          <w:sz w:val="32"/>
          <w:szCs w:val="32"/>
        </w:rPr>
        <w:t>以随机抽样的方式在被抽样经营者的待销产品中抽取。</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color w:val="000000"/>
          <w:kern w:val="0"/>
          <w:sz w:val="32"/>
          <w:szCs w:val="32"/>
        </w:rPr>
      </w:pPr>
      <w:r>
        <w:rPr>
          <w:color w:val="000000"/>
          <w:kern w:val="0"/>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cs="仿宋_GB2312"/>
          <w:color w:val="000000"/>
          <w:sz w:val="32"/>
          <w:szCs w:val="32"/>
        </w:rPr>
      </w:pPr>
      <w:r>
        <w:rPr>
          <w:color w:val="000000"/>
          <w:kern w:val="0"/>
          <w:sz w:val="32"/>
          <w:szCs w:val="32"/>
        </w:rPr>
        <w:t>抽查数量：</w:t>
      </w:r>
      <w:r>
        <w:rPr>
          <w:rFonts w:hint="eastAsia" w:cs="仿宋_GB2312"/>
          <w:color w:val="000000"/>
          <w:sz w:val="32"/>
          <w:szCs w:val="32"/>
        </w:rPr>
        <w:t>每款产品抽取2组样本，第1组用于检验，第2组用于备样。每组样本需抽取样品数量如下表所示：</w:t>
      </w:r>
    </w:p>
    <w:tbl>
      <w:tblPr>
        <w:tblStyle w:val="3"/>
        <w:tblW w:w="82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1707"/>
        <w:gridCol w:w="2829"/>
        <w:gridCol w:w="2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jc w:val="center"/>
        </w:trPr>
        <w:tc>
          <w:tcPr>
            <w:tcW w:w="804" w:type="dxa"/>
            <w:noWrap w:val="0"/>
            <w:vAlign w:val="center"/>
          </w:tcPr>
          <w:p>
            <w:pPr>
              <w:adjustRightInd w:val="0"/>
              <w:snapToGrid w:val="0"/>
              <w:spacing w:line="400" w:lineRule="exact"/>
              <w:jc w:val="center"/>
              <w:rPr>
                <w:rFonts w:eastAsia="宋体"/>
                <w:b/>
                <w:bCs/>
                <w:sz w:val="21"/>
                <w:szCs w:val="21"/>
              </w:rPr>
            </w:pPr>
            <w:r>
              <w:rPr>
                <w:rFonts w:eastAsia="宋体"/>
                <w:b/>
                <w:bCs/>
                <w:sz w:val="21"/>
                <w:szCs w:val="21"/>
              </w:rPr>
              <w:t>序号</w:t>
            </w:r>
          </w:p>
        </w:tc>
        <w:tc>
          <w:tcPr>
            <w:tcW w:w="1707" w:type="dxa"/>
            <w:noWrap w:val="0"/>
            <w:vAlign w:val="center"/>
          </w:tcPr>
          <w:p>
            <w:pPr>
              <w:adjustRightInd w:val="0"/>
              <w:snapToGrid w:val="0"/>
              <w:spacing w:line="400" w:lineRule="exact"/>
              <w:jc w:val="center"/>
              <w:rPr>
                <w:rFonts w:eastAsia="宋体"/>
                <w:b/>
                <w:bCs/>
                <w:sz w:val="21"/>
                <w:szCs w:val="21"/>
              </w:rPr>
            </w:pPr>
            <w:r>
              <w:rPr>
                <w:rFonts w:eastAsia="宋体"/>
                <w:b/>
                <w:bCs/>
                <w:sz w:val="21"/>
                <w:szCs w:val="21"/>
              </w:rPr>
              <w:t>产品名称</w:t>
            </w:r>
          </w:p>
        </w:tc>
        <w:tc>
          <w:tcPr>
            <w:tcW w:w="2829" w:type="dxa"/>
            <w:noWrap w:val="0"/>
            <w:vAlign w:val="center"/>
          </w:tcPr>
          <w:p>
            <w:pPr>
              <w:adjustRightInd w:val="0"/>
              <w:snapToGrid w:val="0"/>
              <w:spacing w:line="400" w:lineRule="exact"/>
              <w:jc w:val="center"/>
              <w:rPr>
                <w:rFonts w:eastAsia="宋体"/>
                <w:b/>
                <w:bCs/>
                <w:sz w:val="21"/>
                <w:szCs w:val="21"/>
              </w:rPr>
            </w:pPr>
            <w:r>
              <w:rPr>
                <w:rFonts w:eastAsia="宋体"/>
                <w:b/>
                <w:bCs/>
                <w:sz w:val="21"/>
                <w:szCs w:val="21"/>
              </w:rPr>
              <w:t>第1组数量</w:t>
            </w:r>
          </w:p>
        </w:tc>
        <w:tc>
          <w:tcPr>
            <w:tcW w:w="2872" w:type="dxa"/>
            <w:noWrap w:val="0"/>
            <w:vAlign w:val="center"/>
          </w:tcPr>
          <w:p>
            <w:pPr>
              <w:adjustRightInd w:val="0"/>
              <w:snapToGrid w:val="0"/>
              <w:spacing w:line="400" w:lineRule="exact"/>
              <w:jc w:val="center"/>
              <w:rPr>
                <w:rFonts w:eastAsia="宋体"/>
                <w:b/>
                <w:bCs/>
                <w:sz w:val="21"/>
                <w:szCs w:val="21"/>
              </w:rPr>
            </w:pPr>
            <w:r>
              <w:rPr>
                <w:rFonts w:eastAsia="宋体"/>
                <w:b/>
                <w:bCs/>
                <w:sz w:val="21"/>
                <w:szCs w:val="21"/>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jc w:val="center"/>
        </w:trPr>
        <w:tc>
          <w:tcPr>
            <w:tcW w:w="804" w:type="dxa"/>
            <w:noWrap w:val="0"/>
            <w:vAlign w:val="center"/>
          </w:tcPr>
          <w:p>
            <w:pPr>
              <w:adjustRightInd w:val="0"/>
              <w:snapToGrid w:val="0"/>
              <w:spacing w:line="400" w:lineRule="exact"/>
              <w:jc w:val="center"/>
              <w:rPr>
                <w:rFonts w:eastAsia="宋体"/>
                <w:sz w:val="21"/>
                <w:szCs w:val="21"/>
              </w:rPr>
            </w:pPr>
            <w:r>
              <w:rPr>
                <w:rFonts w:eastAsia="宋体"/>
                <w:sz w:val="21"/>
                <w:szCs w:val="21"/>
              </w:rPr>
              <w:t>1</w:t>
            </w:r>
          </w:p>
        </w:tc>
        <w:tc>
          <w:tcPr>
            <w:tcW w:w="1707" w:type="dxa"/>
            <w:noWrap w:val="0"/>
            <w:vAlign w:val="center"/>
          </w:tcPr>
          <w:p>
            <w:pPr>
              <w:adjustRightInd w:val="0"/>
              <w:snapToGrid w:val="0"/>
              <w:spacing w:line="400" w:lineRule="exact"/>
              <w:jc w:val="center"/>
              <w:rPr>
                <w:rFonts w:eastAsia="宋体"/>
                <w:sz w:val="21"/>
                <w:szCs w:val="21"/>
              </w:rPr>
            </w:pPr>
            <w:r>
              <w:rPr>
                <w:rFonts w:eastAsia="宋体"/>
                <w:sz w:val="21"/>
                <w:szCs w:val="21"/>
              </w:rPr>
              <w:t>车用汽油</w:t>
            </w:r>
          </w:p>
        </w:tc>
        <w:tc>
          <w:tcPr>
            <w:tcW w:w="2829" w:type="dxa"/>
            <w:noWrap w:val="0"/>
            <w:vAlign w:val="center"/>
          </w:tcPr>
          <w:p>
            <w:pPr>
              <w:adjustRightInd w:val="0"/>
              <w:snapToGrid w:val="0"/>
              <w:spacing w:line="400" w:lineRule="exact"/>
              <w:jc w:val="center"/>
              <w:rPr>
                <w:rFonts w:eastAsia="宋体"/>
                <w:sz w:val="21"/>
                <w:szCs w:val="21"/>
              </w:rPr>
            </w:pPr>
            <w:r>
              <w:rPr>
                <w:rFonts w:eastAsia="宋体"/>
                <w:sz w:val="21"/>
                <w:szCs w:val="21"/>
              </w:rPr>
              <w:t>至少2.7L（包含2部分，第一部分至少2L，第二部分至少700mL）</w:t>
            </w:r>
          </w:p>
        </w:tc>
        <w:tc>
          <w:tcPr>
            <w:tcW w:w="2872" w:type="dxa"/>
            <w:noWrap w:val="0"/>
            <w:vAlign w:val="center"/>
          </w:tcPr>
          <w:p>
            <w:pPr>
              <w:adjustRightInd w:val="0"/>
              <w:snapToGrid w:val="0"/>
              <w:spacing w:line="400" w:lineRule="exact"/>
              <w:jc w:val="center"/>
              <w:rPr>
                <w:rFonts w:eastAsia="宋体"/>
                <w:sz w:val="21"/>
                <w:szCs w:val="21"/>
              </w:rPr>
            </w:pPr>
            <w:r>
              <w:rPr>
                <w:rFonts w:eastAsia="宋体"/>
                <w:sz w:val="21"/>
                <w:szCs w:val="21"/>
              </w:rPr>
              <w:t>至少2.7L（包含2部分，第一部分至少2L，第二部分至少700mL）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804" w:type="dxa"/>
            <w:noWrap w:val="0"/>
            <w:vAlign w:val="center"/>
          </w:tcPr>
          <w:p>
            <w:pPr>
              <w:adjustRightInd w:val="0"/>
              <w:snapToGrid w:val="0"/>
              <w:spacing w:line="400" w:lineRule="exact"/>
              <w:jc w:val="center"/>
              <w:rPr>
                <w:rFonts w:eastAsia="宋体"/>
                <w:sz w:val="21"/>
                <w:szCs w:val="21"/>
              </w:rPr>
            </w:pPr>
            <w:r>
              <w:rPr>
                <w:rFonts w:eastAsia="宋体"/>
                <w:sz w:val="21"/>
                <w:szCs w:val="21"/>
              </w:rPr>
              <w:t>2</w:t>
            </w:r>
          </w:p>
        </w:tc>
        <w:tc>
          <w:tcPr>
            <w:tcW w:w="1707" w:type="dxa"/>
            <w:noWrap w:val="0"/>
            <w:vAlign w:val="center"/>
          </w:tcPr>
          <w:p>
            <w:pPr>
              <w:adjustRightInd w:val="0"/>
              <w:snapToGrid w:val="0"/>
              <w:spacing w:line="400" w:lineRule="exact"/>
              <w:jc w:val="center"/>
              <w:rPr>
                <w:rFonts w:eastAsia="宋体"/>
                <w:sz w:val="21"/>
                <w:szCs w:val="21"/>
              </w:rPr>
            </w:pPr>
            <w:r>
              <w:rPr>
                <w:rFonts w:eastAsia="宋体"/>
                <w:sz w:val="21"/>
                <w:szCs w:val="21"/>
              </w:rPr>
              <w:t>车用柴油</w:t>
            </w:r>
          </w:p>
        </w:tc>
        <w:tc>
          <w:tcPr>
            <w:tcW w:w="2829" w:type="dxa"/>
            <w:noWrap w:val="0"/>
            <w:vAlign w:val="center"/>
          </w:tcPr>
          <w:p>
            <w:pPr>
              <w:adjustRightInd w:val="0"/>
              <w:snapToGrid w:val="0"/>
              <w:spacing w:line="400" w:lineRule="exact"/>
              <w:jc w:val="center"/>
              <w:rPr>
                <w:rFonts w:eastAsia="宋体"/>
                <w:sz w:val="21"/>
                <w:szCs w:val="21"/>
              </w:rPr>
            </w:pPr>
            <w:r>
              <w:rPr>
                <w:rFonts w:eastAsia="宋体"/>
                <w:sz w:val="21"/>
                <w:szCs w:val="21"/>
              </w:rPr>
              <w:t>至少2L</w:t>
            </w:r>
          </w:p>
        </w:tc>
        <w:tc>
          <w:tcPr>
            <w:tcW w:w="2872" w:type="dxa"/>
            <w:noWrap w:val="0"/>
            <w:vAlign w:val="center"/>
          </w:tcPr>
          <w:p>
            <w:pPr>
              <w:adjustRightInd w:val="0"/>
              <w:snapToGrid w:val="0"/>
              <w:spacing w:line="400" w:lineRule="exact"/>
              <w:jc w:val="center"/>
              <w:rPr>
                <w:rFonts w:eastAsia="宋体"/>
                <w:sz w:val="21"/>
                <w:szCs w:val="21"/>
              </w:rPr>
            </w:pPr>
            <w:r>
              <w:rPr>
                <w:rFonts w:eastAsia="宋体"/>
                <w:sz w:val="21"/>
                <w:szCs w:val="21"/>
              </w:rPr>
              <w:t>至少2L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804" w:type="dxa"/>
            <w:noWrap w:val="0"/>
            <w:vAlign w:val="center"/>
          </w:tcPr>
          <w:p>
            <w:pPr>
              <w:adjustRightInd w:val="0"/>
              <w:snapToGrid w:val="0"/>
              <w:spacing w:line="400" w:lineRule="exact"/>
              <w:jc w:val="center"/>
              <w:rPr>
                <w:rFonts w:eastAsia="宋体"/>
                <w:sz w:val="21"/>
                <w:szCs w:val="21"/>
              </w:rPr>
            </w:pPr>
            <w:r>
              <w:rPr>
                <w:rFonts w:eastAsia="宋体"/>
                <w:sz w:val="21"/>
                <w:szCs w:val="21"/>
              </w:rPr>
              <w:t>3</w:t>
            </w:r>
          </w:p>
        </w:tc>
        <w:tc>
          <w:tcPr>
            <w:tcW w:w="1707" w:type="dxa"/>
            <w:noWrap w:val="0"/>
            <w:vAlign w:val="center"/>
          </w:tcPr>
          <w:p>
            <w:pPr>
              <w:adjustRightInd w:val="0"/>
              <w:snapToGrid w:val="0"/>
              <w:spacing w:line="400" w:lineRule="exact"/>
              <w:jc w:val="center"/>
              <w:rPr>
                <w:rFonts w:eastAsia="宋体"/>
                <w:sz w:val="21"/>
                <w:szCs w:val="21"/>
              </w:rPr>
            </w:pPr>
            <w:r>
              <w:rPr>
                <w:rFonts w:eastAsia="宋体"/>
                <w:sz w:val="21"/>
                <w:szCs w:val="21"/>
              </w:rPr>
              <w:t>船用燃料油</w:t>
            </w:r>
          </w:p>
        </w:tc>
        <w:tc>
          <w:tcPr>
            <w:tcW w:w="2829" w:type="dxa"/>
            <w:noWrap w:val="0"/>
            <w:vAlign w:val="center"/>
          </w:tcPr>
          <w:p>
            <w:pPr>
              <w:adjustRightInd w:val="0"/>
              <w:snapToGrid w:val="0"/>
              <w:spacing w:line="400" w:lineRule="exact"/>
              <w:jc w:val="center"/>
              <w:rPr>
                <w:rFonts w:eastAsia="宋体"/>
                <w:sz w:val="21"/>
                <w:szCs w:val="21"/>
              </w:rPr>
            </w:pPr>
            <w:r>
              <w:rPr>
                <w:rFonts w:eastAsia="宋体"/>
                <w:sz w:val="21"/>
                <w:szCs w:val="21"/>
              </w:rPr>
              <w:t>至少2L</w:t>
            </w:r>
          </w:p>
        </w:tc>
        <w:tc>
          <w:tcPr>
            <w:tcW w:w="2872" w:type="dxa"/>
            <w:noWrap w:val="0"/>
            <w:vAlign w:val="center"/>
          </w:tcPr>
          <w:p>
            <w:pPr>
              <w:adjustRightInd w:val="0"/>
              <w:snapToGrid w:val="0"/>
              <w:spacing w:line="400" w:lineRule="exact"/>
              <w:jc w:val="center"/>
              <w:rPr>
                <w:rFonts w:eastAsia="宋体"/>
                <w:sz w:val="21"/>
                <w:szCs w:val="21"/>
              </w:rPr>
            </w:pPr>
            <w:r>
              <w:rPr>
                <w:rFonts w:eastAsia="宋体"/>
                <w:sz w:val="21"/>
                <w:szCs w:val="21"/>
              </w:rPr>
              <w:t>至少2L</w:t>
            </w:r>
          </w:p>
        </w:tc>
      </w:tr>
    </w:tbl>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cs="仿宋_GB2312"/>
          <w:color w:val="000000"/>
          <w:sz w:val="32"/>
          <w:szCs w:val="32"/>
        </w:rPr>
      </w:pPr>
      <w:r>
        <w:rPr>
          <w:rFonts w:hint="eastAsia" w:cs="仿宋_GB2312"/>
          <w:color w:val="000000"/>
          <w:sz w:val="32"/>
          <w:szCs w:val="32"/>
        </w:rPr>
        <w:t>抽样方法如下：在生产企业（油库）抽样时，按GB/T 4756-2015《石油液体手工取样法》规定的方法抽取样本；在加油站或燃油供应船舶或燃油供应车辆抽样时，直接在加油机加油枪或加油管出口处（或取样处）随机抽取样本。抽取样本前，通过油枪或油管将至少4L油品放出，清洗加油管，避免加油管污染样品；同时清洗取样罐至少3次。将抽取的样品密封，贴上样品标签，加封封条，全部带回检验机构。</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eastAsia="黑体" w:cs="黑体"/>
          <w:color w:val="000000"/>
          <w:szCs w:val="32"/>
        </w:rPr>
      </w:pPr>
      <w:r>
        <w:rPr>
          <w:rFonts w:hint="eastAsia" w:eastAsia="黑体" w:cs="黑体"/>
          <w:color w:val="000000"/>
          <w:sz w:val="32"/>
          <w:szCs w:val="32"/>
        </w:rPr>
        <w:t>二、主要检验项目及检验项目属性划</w:t>
      </w:r>
      <w:r>
        <w:rPr>
          <w:rFonts w:hint="eastAsia" w:eastAsia="黑体" w:cs="黑体"/>
          <w:color w:val="000000"/>
          <w:szCs w:val="32"/>
        </w:rPr>
        <w:t>分</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cs="仿宋_GB2312"/>
          <w:color w:val="000000"/>
          <w:szCs w:val="32"/>
        </w:rPr>
      </w:pPr>
      <w:r>
        <w:rPr>
          <w:rFonts w:hint="eastAsia" w:ascii="楷体_GB2312" w:hAnsi="楷体_GB2312" w:eastAsia="楷体_GB2312" w:cs="楷体_GB2312"/>
          <w:color w:val="000000"/>
          <w:sz w:val="32"/>
          <w:szCs w:val="32"/>
        </w:rPr>
        <w:t>（</w:t>
      </w:r>
      <w:r>
        <w:rPr>
          <w:rFonts w:hint="eastAsia" w:ascii="楷体_GB2312" w:hAnsi="楷体_GB2312" w:eastAsia="楷体_GB2312" w:cs="楷体_GB2312"/>
          <w:color w:val="000000"/>
          <w:sz w:val="32"/>
          <w:szCs w:val="32"/>
          <w:lang w:eastAsia="zh-CN"/>
        </w:rPr>
        <w:t>一</w:t>
      </w:r>
      <w:r>
        <w:rPr>
          <w:rFonts w:hint="eastAsia" w:ascii="楷体_GB2312" w:hAnsi="楷体_GB2312" w:eastAsia="楷体_GB2312" w:cs="楷体_GB2312"/>
          <w:color w:val="000000"/>
          <w:sz w:val="32"/>
          <w:szCs w:val="32"/>
        </w:rPr>
        <w:t>）车用汽油</w:t>
      </w:r>
    </w:p>
    <w:tbl>
      <w:tblPr>
        <w:tblStyle w:val="3"/>
        <w:tblW w:w="83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684"/>
        <w:gridCol w:w="2346"/>
        <w:gridCol w:w="708"/>
        <w:gridCol w:w="709"/>
        <w:gridCol w:w="709"/>
        <w:gridCol w:w="709"/>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kinsoku/>
              <w:wordWrap/>
              <w:overflowPunct/>
              <w:topLinePunct w:val="0"/>
              <w:autoSpaceDE/>
              <w:autoSpaceDN/>
              <w:bidi w:val="0"/>
              <w:snapToGrid w:val="0"/>
              <w:spacing w:line="260" w:lineRule="exact"/>
              <w:jc w:val="center"/>
              <w:textAlignment w:val="auto"/>
              <w:rPr>
                <w:rFonts w:eastAsia="宋体"/>
                <w:b/>
                <w:bCs/>
                <w:sz w:val="21"/>
                <w:szCs w:val="21"/>
              </w:rPr>
            </w:pPr>
            <w:r>
              <w:rPr>
                <w:rFonts w:eastAsia="宋体"/>
                <w:b/>
                <w:bCs/>
                <w:sz w:val="21"/>
                <w:szCs w:val="21"/>
              </w:rPr>
              <w:t>序号</w:t>
            </w:r>
          </w:p>
        </w:tc>
        <w:tc>
          <w:tcPr>
            <w:tcW w:w="1684" w:type="dxa"/>
            <w:noWrap w:val="0"/>
            <w:vAlign w:val="center"/>
          </w:tcPr>
          <w:p>
            <w:pPr>
              <w:keepNext w:val="0"/>
              <w:keepLines w:val="0"/>
              <w:pageBreakBefore w:val="0"/>
              <w:kinsoku/>
              <w:wordWrap/>
              <w:overflowPunct/>
              <w:topLinePunct w:val="0"/>
              <w:autoSpaceDE/>
              <w:autoSpaceDN/>
              <w:bidi w:val="0"/>
              <w:snapToGrid w:val="0"/>
              <w:spacing w:line="260" w:lineRule="exact"/>
              <w:jc w:val="center"/>
              <w:textAlignment w:val="auto"/>
              <w:rPr>
                <w:rFonts w:eastAsia="宋体"/>
                <w:b/>
                <w:bCs/>
                <w:sz w:val="21"/>
                <w:szCs w:val="21"/>
              </w:rPr>
            </w:pPr>
            <w:r>
              <w:rPr>
                <w:rFonts w:eastAsia="宋体"/>
                <w:b/>
                <w:bCs/>
                <w:sz w:val="21"/>
                <w:szCs w:val="21"/>
              </w:rPr>
              <w:t>检验项目</w:t>
            </w:r>
          </w:p>
        </w:tc>
        <w:tc>
          <w:tcPr>
            <w:tcW w:w="2346" w:type="dxa"/>
            <w:noWrap w:val="0"/>
            <w:vAlign w:val="center"/>
          </w:tcPr>
          <w:p>
            <w:pPr>
              <w:keepNext w:val="0"/>
              <w:keepLines w:val="0"/>
              <w:pageBreakBefore w:val="0"/>
              <w:kinsoku/>
              <w:wordWrap/>
              <w:overflowPunct/>
              <w:topLinePunct w:val="0"/>
              <w:autoSpaceDE/>
              <w:autoSpaceDN/>
              <w:bidi w:val="0"/>
              <w:snapToGrid w:val="0"/>
              <w:spacing w:line="260" w:lineRule="exact"/>
              <w:jc w:val="center"/>
              <w:textAlignment w:val="auto"/>
              <w:rPr>
                <w:rFonts w:eastAsia="宋体"/>
                <w:b/>
                <w:bCs/>
                <w:sz w:val="21"/>
                <w:szCs w:val="21"/>
              </w:rPr>
            </w:pPr>
            <w:r>
              <w:rPr>
                <w:rFonts w:eastAsia="宋体"/>
                <w:b/>
                <w:bCs/>
                <w:sz w:val="24"/>
              </w:rPr>
              <w:t>检验方法</w:t>
            </w:r>
          </w:p>
        </w:tc>
        <w:tc>
          <w:tcPr>
            <w:tcW w:w="708" w:type="dxa"/>
            <w:noWrap w:val="0"/>
            <w:vAlign w:val="center"/>
          </w:tcPr>
          <w:p>
            <w:pPr>
              <w:keepNext w:val="0"/>
              <w:keepLines w:val="0"/>
              <w:pageBreakBefore w:val="0"/>
              <w:kinsoku/>
              <w:wordWrap/>
              <w:overflowPunct/>
              <w:topLinePunct w:val="0"/>
              <w:autoSpaceDE/>
              <w:autoSpaceDN/>
              <w:bidi w:val="0"/>
              <w:snapToGrid w:val="0"/>
              <w:spacing w:line="260" w:lineRule="exact"/>
              <w:jc w:val="center"/>
              <w:textAlignment w:val="auto"/>
              <w:rPr>
                <w:rFonts w:eastAsia="宋体"/>
                <w:b/>
                <w:bCs/>
                <w:sz w:val="21"/>
                <w:szCs w:val="21"/>
              </w:rPr>
            </w:pPr>
            <w:r>
              <w:rPr>
                <w:rFonts w:eastAsia="宋体"/>
                <w:b/>
                <w:bCs/>
                <w:sz w:val="21"/>
                <w:szCs w:val="21"/>
              </w:rPr>
              <w:t>强制性</w:t>
            </w:r>
          </w:p>
        </w:tc>
        <w:tc>
          <w:tcPr>
            <w:tcW w:w="709" w:type="dxa"/>
            <w:noWrap w:val="0"/>
            <w:vAlign w:val="center"/>
          </w:tcPr>
          <w:p>
            <w:pPr>
              <w:keepNext w:val="0"/>
              <w:keepLines w:val="0"/>
              <w:pageBreakBefore w:val="0"/>
              <w:kinsoku/>
              <w:wordWrap/>
              <w:overflowPunct/>
              <w:topLinePunct w:val="0"/>
              <w:autoSpaceDE/>
              <w:autoSpaceDN/>
              <w:bidi w:val="0"/>
              <w:snapToGrid w:val="0"/>
              <w:spacing w:line="260" w:lineRule="exact"/>
              <w:jc w:val="center"/>
              <w:textAlignment w:val="auto"/>
              <w:rPr>
                <w:rFonts w:eastAsia="宋体"/>
                <w:b/>
                <w:bCs/>
                <w:sz w:val="21"/>
                <w:szCs w:val="21"/>
              </w:rPr>
            </w:pPr>
            <w:r>
              <w:rPr>
                <w:rFonts w:eastAsia="宋体"/>
                <w:b/>
                <w:bCs/>
                <w:sz w:val="21"/>
                <w:szCs w:val="21"/>
              </w:rPr>
              <w:t>非强制性</w:t>
            </w:r>
          </w:p>
        </w:tc>
        <w:tc>
          <w:tcPr>
            <w:tcW w:w="709" w:type="dxa"/>
            <w:noWrap w:val="0"/>
            <w:vAlign w:val="center"/>
          </w:tcPr>
          <w:p>
            <w:pPr>
              <w:keepNext w:val="0"/>
              <w:keepLines w:val="0"/>
              <w:pageBreakBefore w:val="0"/>
              <w:kinsoku/>
              <w:wordWrap/>
              <w:overflowPunct/>
              <w:topLinePunct w:val="0"/>
              <w:autoSpaceDE/>
              <w:autoSpaceDN/>
              <w:bidi w:val="0"/>
              <w:snapToGrid w:val="0"/>
              <w:spacing w:line="260" w:lineRule="exact"/>
              <w:jc w:val="center"/>
              <w:textAlignment w:val="auto"/>
              <w:rPr>
                <w:rFonts w:eastAsia="宋体"/>
                <w:b/>
                <w:bCs/>
                <w:sz w:val="21"/>
                <w:szCs w:val="21"/>
              </w:rPr>
            </w:pPr>
            <w:r>
              <w:rPr>
                <w:rFonts w:eastAsia="宋体"/>
                <w:b/>
                <w:bCs/>
                <w:sz w:val="21"/>
                <w:szCs w:val="21"/>
              </w:rPr>
              <w:t>重要项</w:t>
            </w:r>
          </w:p>
        </w:tc>
        <w:tc>
          <w:tcPr>
            <w:tcW w:w="709" w:type="dxa"/>
            <w:noWrap w:val="0"/>
            <w:vAlign w:val="center"/>
          </w:tcPr>
          <w:p>
            <w:pPr>
              <w:keepNext w:val="0"/>
              <w:keepLines w:val="0"/>
              <w:pageBreakBefore w:val="0"/>
              <w:kinsoku/>
              <w:wordWrap/>
              <w:overflowPunct/>
              <w:topLinePunct w:val="0"/>
              <w:autoSpaceDE/>
              <w:autoSpaceDN/>
              <w:bidi w:val="0"/>
              <w:snapToGrid w:val="0"/>
              <w:spacing w:line="260" w:lineRule="exact"/>
              <w:jc w:val="center"/>
              <w:textAlignment w:val="auto"/>
              <w:rPr>
                <w:rFonts w:eastAsia="宋体"/>
                <w:b/>
                <w:bCs/>
                <w:sz w:val="21"/>
                <w:szCs w:val="21"/>
              </w:rPr>
            </w:pPr>
            <w:r>
              <w:rPr>
                <w:rFonts w:eastAsia="宋体"/>
                <w:b/>
                <w:bCs/>
                <w:sz w:val="21"/>
                <w:szCs w:val="21"/>
              </w:rPr>
              <w:t>较重要项</w:t>
            </w:r>
          </w:p>
        </w:tc>
        <w:tc>
          <w:tcPr>
            <w:tcW w:w="737" w:type="dxa"/>
            <w:noWrap w:val="0"/>
            <w:vAlign w:val="center"/>
          </w:tcPr>
          <w:p>
            <w:pPr>
              <w:keepNext w:val="0"/>
              <w:keepLines w:val="0"/>
              <w:pageBreakBefore w:val="0"/>
              <w:kinsoku/>
              <w:wordWrap/>
              <w:overflowPunct/>
              <w:topLinePunct w:val="0"/>
              <w:autoSpaceDE/>
              <w:autoSpaceDN/>
              <w:bidi w:val="0"/>
              <w:snapToGrid w:val="0"/>
              <w:spacing w:line="260" w:lineRule="exact"/>
              <w:jc w:val="center"/>
              <w:textAlignment w:val="auto"/>
              <w:rPr>
                <w:rFonts w:eastAsia="宋体"/>
                <w:b/>
                <w:bCs/>
                <w:sz w:val="21"/>
                <w:szCs w:val="21"/>
              </w:rPr>
            </w:pPr>
            <w:r>
              <w:rPr>
                <w:rFonts w:eastAsia="宋体"/>
                <w:b/>
                <w:bCs/>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1</w:t>
            </w:r>
          </w:p>
        </w:tc>
        <w:tc>
          <w:tcPr>
            <w:tcW w:w="1684"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研究法辛烷值</w:t>
            </w:r>
          </w:p>
        </w:tc>
        <w:tc>
          <w:tcPr>
            <w:tcW w:w="2346"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color w:val="000000"/>
                <w:kern w:val="0"/>
                <w:sz w:val="20"/>
                <w:szCs w:val="20"/>
              </w:rPr>
              <w:t>GB/T 5487-2015</w:t>
            </w:r>
          </w:p>
        </w:tc>
        <w:tc>
          <w:tcPr>
            <w:tcW w:w="708"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37"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hint="eastAsia" w:eastAsia="宋体"/>
                <w:sz w:val="21"/>
                <w:szCs w:val="21"/>
                <w:lang w:eastAsia="zh-CN"/>
              </w:rPr>
            </w:pPr>
            <w:r>
              <w:rPr>
                <w:rFonts w:hint="eastAsia" w:eastAsia="宋体"/>
                <w:sz w:val="21"/>
                <w:szCs w:val="21"/>
                <w:lang w:val="en-US" w:eastAsia="zh-CN"/>
              </w:rPr>
              <w:t>2</w:t>
            </w:r>
          </w:p>
        </w:tc>
        <w:tc>
          <w:tcPr>
            <w:tcW w:w="1684"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硫含量</w:t>
            </w:r>
          </w:p>
        </w:tc>
        <w:tc>
          <w:tcPr>
            <w:tcW w:w="2346"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SH/T 0689-2000</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GB/T 11140-2008</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NB/SH/T 0253-</w:t>
            </w:r>
            <w:r>
              <w:rPr>
                <w:rFonts w:hint="eastAsia" w:eastAsia="宋体"/>
                <w:color w:val="000000"/>
                <w:kern w:val="0"/>
                <w:sz w:val="20"/>
                <w:szCs w:val="20"/>
              </w:rPr>
              <w:t>2021</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ASTM D7039-15a</w:t>
            </w:r>
          </w:p>
        </w:tc>
        <w:tc>
          <w:tcPr>
            <w:tcW w:w="708"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37"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hint="eastAsia" w:eastAsia="宋体"/>
                <w:sz w:val="21"/>
                <w:szCs w:val="21"/>
                <w:lang w:eastAsia="zh-CN"/>
              </w:rPr>
            </w:pPr>
            <w:r>
              <w:rPr>
                <w:rFonts w:hint="eastAsia" w:eastAsia="宋体"/>
                <w:sz w:val="21"/>
                <w:szCs w:val="21"/>
                <w:lang w:val="en-US" w:eastAsia="zh-CN"/>
              </w:rPr>
              <w:t>3</w:t>
            </w:r>
          </w:p>
        </w:tc>
        <w:tc>
          <w:tcPr>
            <w:tcW w:w="1684"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苯含量</w:t>
            </w:r>
          </w:p>
        </w:tc>
        <w:tc>
          <w:tcPr>
            <w:tcW w:w="2346"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SH/T 0713-2002</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SH/T 0693-2000</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GB/T 28768-2012</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GB/T 30519-2014</w:t>
            </w:r>
          </w:p>
        </w:tc>
        <w:tc>
          <w:tcPr>
            <w:tcW w:w="708"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37"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hint="eastAsia" w:eastAsia="宋体"/>
                <w:sz w:val="21"/>
                <w:szCs w:val="21"/>
                <w:lang w:eastAsia="zh-CN"/>
              </w:rPr>
            </w:pPr>
            <w:r>
              <w:rPr>
                <w:rFonts w:hint="eastAsia" w:eastAsia="宋体"/>
                <w:sz w:val="21"/>
                <w:szCs w:val="21"/>
                <w:lang w:val="en-US" w:eastAsia="zh-CN"/>
              </w:rPr>
              <w:t>4</w:t>
            </w:r>
          </w:p>
        </w:tc>
        <w:tc>
          <w:tcPr>
            <w:tcW w:w="1684"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氧含量</w:t>
            </w:r>
          </w:p>
        </w:tc>
        <w:tc>
          <w:tcPr>
            <w:tcW w:w="2346"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NB/SH/T 0663-2014</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SH/T 0720-2002</w:t>
            </w:r>
          </w:p>
        </w:tc>
        <w:tc>
          <w:tcPr>
            <w:tcW w:w="708"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w:t>
            </w:r>
          </w:p>
        </w:tc>
        <w:tc>
          <w:tcPr>
            <w:tcW w:w="737"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hint="eastAsia" w:eastAsia="宋体"/>
                <w:sz w:val="21"/>
                <w:szCs w:val="21"/>
                <w:lang w:eastAsia="zh-CN"/>
              </w:rPr>
            </w:pPr>
            <w:r>
              <w:rPr>
                <w:rFonts w:hint="eastAsia" w:eastAsia="宋体"/>
                <w:sz w:val="21"/>
                <w:szCs w:val="21"/>
                <w:lang w:val="en-US" w:eastAsia="zh-CN"/>
              </w:rPr>
              <w:t>5</w:t>
            </w:r>
          </w:p>
        </w:tc>
        <w:tc>
          <w:tcPr>
            <w:tcW w:w="1684"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甲醇含量</w:t>
            </w:r>
          </w:p>
        </w:tc>
        <w:tc>
          <w:tcPr>
            <w:tcW w:w="2346"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NB/SH/T 0663-2014</w:t>
            </w:r>
          </w:p>
        </w:tc>
        <w:tc>
          <w:tcPr>
            <w:tcW w:w="708"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w:t>
            </w:r>
          </w:p>
        </w:tc>
        <w:tc>
          <w:tcPr>
            <w:tcW w:w="737"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hint="eastAsia" w:eastAsia="宋体"/>
                <w:sz w:val="21"/>
                <w:szCs w:val="21"/>
                <w:lang w:eastAsia="zh-CN"/>
              </w:rPr>
            </w:pPr>
            <w:r>
              <w:rPr>
                <w:rFonts w:hint="eastAsia" w:eastAsia="宋体"/>
                <w:sz w:val="21"/>
                <w:szCs w:val="21"/>
                <w:lang w:val="en-US" w:eastAsia="zh-CN"/>
              </w:rPr>
              <w:t>6</w:t>
            </w:r>
          </w:p>
        </w:tc>
        <w:tc>
          <w:tcPr>
            <w:tcW w:w="1684"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蒸气压</w:t>
            </w:r>
          </w:p>
        </w:tc>
        <w:tc>
          <w:tcPr>
            <w:tcW w:w="2346"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GB/T 8017-2012</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SH/T 0794-2007</w:t>
            </w:r>
          </w:p>
        </w:tc>
        <w:tc>
          <w:tcPr>
            <w:tcW w:w="708"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w:t>
            </w:r>
          </w:p>
        </w:tc>
        <w:tc>
          <w:tcPr>
            <w:tcW w:w="737"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p>
        </w:tc>
      </w:tr>
    </w:tbl>
    <w:p>
      <w:pPr>
        <w:spacing w:afterLines="20" w:line="590" w:lineRule="exact"/>
        <w:ind w:firstLine="640" w:firstLineChars="200"/>
        <w:rPr>
          <w:rFonts w:cs="仿宋_GB2312"/>
          <w:color w:val="000000"/>
          <w:szCs w:val="32"/>
        </w:rPr>
      </w:pPr>
      <w:r>
        <w:rPr>
          <w:rFonts w:hint="eastAsia" w:ascii="楷体_GB2312" w:hAnsi="楷体_GB2312" w:eastAsia="楷体_GB2312" w:cs="楷体_GB2312"/>
          <w:color w:val="000000"/>
          <w:sz w:val="32"/>
          <w:szCs w:val="32"/>
        </w:rPr>
        <w:t>（</w:t>
      </w:r>
      <w:r>
        <w:rPr>
          <w:rFonts w:hint="eastAsia" w:ascii="楷体_GB2312" w:hAnsi="楷体_GB2312" w:eastAsia="楷体_GB2312" w:cs="楷体_GB2312"/>
          <w:color w:val="000000"/>
          <w:sz w:val="32"/>
          <w:szCs w:val="32"/>
          <w:lang w:eastAsia="zh-CN"/>
        </w:rPr>
        <w:t>二</w:t>
      </w:r>
      <w:r>
        <w:rPr>
          <w:rFonts w:hint="eastAsia" w:ascii="楷体_GB2312" w:hAnsi="楷体_GB2312" w:eastAsia="楷体_GB2312" w:cs="楷体_GB2312"/>
          <w:color w:val="000000"/>
          <w:sz w:val="32"/>
          <w:szCs w:val="32"/>
        </w:rPr>
        <w:t>）车用柴油</w:t>
      </w:r>
    </w:p>
    <w:tbl>
      <w:tblPr>
        <w:tblStyle w:val="3"/>
        <w:tblW w:w="83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418"/>
        <w:gridCol w:w="2630"/>
        <w:gridCol w:w="708"/>
        <w:gridCol w:w="709"/>
        <w:gridCol w:w="709"/>
        <w:gridCol w:w="709"/>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32"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b/>
                <w:bCs/>
                <w:sz w:val="21"/>
                <w:szCs w:val="21"/>
              </w:rPr>
            </w:pPr>
            <w:r>
              <w:rPr>
                <w:rFonts w:eastAsia="宋体"/>
                <w:b/>
                <w:bCs/>
                <w:sz w:val="21"/>
                <w:szCs w:val="21"/>
              </w:rPr>
              <w:t>序号</w:t>
            </w:r>
          </w:p>
        </w:tc>
        <w:tc>
          <w:tcPr>
            <w:tcW w:w="141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b/>
                <w:bCs/>
                <w:sz w:val="21"/>
                <w:szCs w:val="21"/>
              </w:rPr>
            </w:pPr>
            <w:r>
              <w:rPr>
                <w:rFonts w:eastAsia="宋体"/>
                <w:b/>
                <w:bCs/>
                <w:sz w:val="21"/>
                <w:szCs w:val="21"/>
              </w:rPr>
              <w:t>检验项目</w:t>
            </w:r>
          </w:p>
        </w:tc>
        <w:tc>
          <w:tcPr>
            <w:tcW w:w="2630"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b/>
                <w:bCs/>
                <w:sz w:val="21"/>
                <w:szCs w:val="21"/>
              </w:rPr>
            </w:pPr>
            <w:r>
              <w:rPr>
                <w:rFonts w:eastAsia="宋体"/>
                <w:b/>
                <w:bCs/>
                <w:sz w:val="24"/>
              </w:rPr>
              <w:t>检验方法</w:t>
            </w:r>
          </w:p>
        </w:tc>
        <w:tc>
          <w:tcPr>
            <w:tcW w:w="70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b/>
                <w:bCs/>
                <w:sz w:val="21"/>
                <w:szCs w:val="21"/>
              </w:rPr>
            </w:pPr>
            <w:r>
              <w:rPr>
                <w:rFonts w:eastAsia="宋体"/>
                <w:b/>
                <w:bCs/>
                <w:sz w:val="21"/>
                <w:szCs w:val="21"/>
              </w:rPr>
              <w:t>强制性</w:t>
            </w:r>
          </w:p>
        </w:tc>
        <w:tc>
          <w:tcPr>
            <w:tcW w:w="709"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b/>
                <w:bCs/>
                <w:sz w:val="21"/>
                <w:szCs w:val="21"/>
              </w:rPr>
            </w:pPr>
            <w:r>
              <w:rPr>
                <w:rFonts w:eastAsia="宋体"/>
                <w:b/>
                <w:bCs/>
                <w:sz w:val="21"/>
                <w:szCs w:val="21"/>
              </w:rPr>
              <w:t>非强制性</w:t>
            </w:r>
          </w:p>
        </w:tc>
        <w:tc>
          <w:tcPr>
            <w:tcW w:w="709"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b/>
                <w:bCs/>
                <w:sz w:val="21"/>
                <w:szCs w:val="21"/>
              </w:rPr>
            </w:pPr>
            <w:r>
              <w:rPr>
                <w:rFonts w:eastAsia="宋体"/>
                <w:b/>
                <w:bCs/>
                <w:sz w:val="21"/>
                <w:szCs w:val="21"/>
              </w:rPr>
              <w:t>重要项</w:t>
            </w:r>
          </w:p>
        </w:tc>
        <w:tc>
          <w:tcPr>
            <w:tcW w:w="709"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b/>
                <w:bCs/>
                <w:sz w:val="21"/>
                <w:szCs w:val="21"/>
              </w:rPr>
            </w:pPr>
            <w:r>
              <w:rPr>
                <w:rFonts w:eastAsia="宋体"/>
                <w:b/>
                <w:bCs/>
                <w:sz w:val="21"/>
                <w:szCs w:val="21"/>
              </w:rPr>
              <w:t>较重要项</w:t>
            </w:r>
          </w:p>
        </w:tc>
        <w:tc>
          <w:tcPr>
            <w:tcW w:w="737"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b/>
                <w:bCs/>
                <w:sz w:val="21"/>
                <w:szCs w:val="21"/>
              </w:rPr>
            </w:pPr>
            <w:r>
              <w:rPr>
                <w:rFonts w:eastAsia="宋体"/>
                <w:b/>
                <w:bCs/>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32"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1</w:t>
            </w:r>
          </w:p>
        </w:tc>
        <w:tc>
          <w:tcPr>
            <w:tcW w:w="141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sz w:val="21"/>
                <w:szCs w:val="21"/>
              </w:rPr>
            </w:pPr>
            <w:r>
              <w:rPr>
                <w:rFonts w:eastAsia="宋体"/>
                <w:sz w:val="21"/>
                <w:szCs w:val="21"/>
              </w:rPr>
              <w:t>硫含量</w:t>
            </w:r>
          </w:p>
        </w:tc>
        <w:tc>
          <w:tcPr>
            <w:tcW w:w="263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color w:val="000000"/>
                <w:kern w:val="0"/>
                <w:sz w:val="20"/>
                <w:szCs w:val="20"/>
              </w:rPr>
            </w:pPr>
            <w:r>
              <w:rPr>
                <w:rFonts w:eastAsia="宋体"/>
                <w:color w:val="000000"/>
                <w:kern w:val="0"/>
                <w:sz w:val="20"/>
                <w:szCs w:val="20"/>
              </w:rPr>
              <w:t>SH/T 0689-2000</w:t>
            </w:r>
          </w:p>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color w:val="000000"/>
                <w:kern w:val="0"/>
                <w:sz w:val="20"/>
                <w:szCs w:val="20"/>
              </w:rPr>
            </w:pPr>
            <w:r>
              <w:rPr>
                <w:rFonts w:eastAsia="宋体"/>
                <w:color w:val="000000"/>
                <w:kern w:val="0"/>
                <w:sz w:val="20"/>
                <w:szCs w:val="20"/>
              </w:rPr>
              <w:t>GB/T 11140-2008</w:t>
            </w:r>
          </w:p>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color w:val="000000"/>
                <w:kern w:val="0"/>
                <w:sz w:val="20"/>
                <w:szCs w:val="20"/>
              </w:rPr>
            </w:pPr>
            <w:r>
              <w:rPr>
                <w:rFonts w:eastAsia="宋体"/>
                <w:color w:val="000000"/>
                <w:kern w:val="0"/>
                <w:sz w:val="20"/>
                <w:szCs w:val="20"/>
              </w:rPr>
              <w:t>ASTM D7039-15a</w:t>
            </w:r>
          </w:p>
        </w:tc>
        <w:tc>
          <w:tcPr>
            <w:tcW w:w="708"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c>
          <w:tcPr>
            <w:tcW w:w="737"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32" w:type="dxa"/>
            <w:noWrap w:val="0"/>
            <w:vAlign w:val="center"/>
          </w:tcPr>
          <w:p>
            <w:pPr>
              <w:keepNext w:val="0"/>
              <w:keepLines w:val="0"/>
              <w:pageBreakBefore w:val="0"/>
              <w:widowControl/>
              <w:tabs>
                <w:tab w:val="left" w:pos="492"/>
              </w:tabs>
              <w:kinsoku/>
              <w:wordWrap/>
              <w:overflowPunct/>
              <w:topLinePunct w:val="0"/>
              <w:autoSpaceDE/>
              <w:autoSpaceDN/>
              <w:bidi w:val="0"/>
              <w:adjustRightInd/>
              <w:spacing w:line="300" w:lineRule="exact"/>
              <w:jc w:val="center"/>
              <w:textAlignment w:val="auto"/>
              <w:rPr>
                <w:rFonts w:hint="eastAsia" w:eastAsia="宋体"/>
                <w:sz w:val="21"/>
                <w:szCs w:val="21"/>
                <w:lang w:eastAsia="zh-CN"/>
              </w:rPr>
            </w:pPr>
            <w:r>
              <w:rPr>
                <w:rFonts w:hint="eastAsia" w:eastAsia="宋体"/>
                <w:sz w:val="21"/>
                <w:szCs w:val="21"/>
                <w:lang w:val="en-US" w:eastAsia="zh-CN"/>
              </w:rPr>
              <w:t>2</w:t>
            </w:r>
          </w:p>
        </w:tc>
        <w:tc>
          <w:tcPr>
            <w:tcW w:w="141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sz w:val="21"/>
                <w:szCs w:val="21"/>
              </w:rPr>
            </w:pPr>
            <w:r>
              <w:rPr>
                <w:rFonts w:eastAsia="宋体"/>
                <w:sz w:val="21"/>
                <w:szCs w:val="21"/>
              </w:rPr>
              <w:t>闪点（闭口）</w:t>
            </w:r>
          </w:p>
        </w:tc>
        <w:tc>
          <w:tcPr>
            <w:tcW w:w="263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color w:val="000000"/>
                <w:kern w:val="0"/>
                <w:sz w:val="20"/>
                <w:szCs w:val="20"/>
              </w:rPr>
            </w:pPr>
            <w:r>
              <w:rPr>
                <w:rFonts w:eastAsia="宋体"/>
                <w:color w:val="000000"/>
                <w:kern w:val="0"/>
                <w:sz w:val="20"/>
                <w:szCs w:val="20"/>
              </w:rPr>
              <w:t>GB/T 261-20</w:t>
            </w:r>
            <w:r>
              <w:rPr>
                <w:rFonts w:hint="eastAsia" w:eastAsia="宋体"/>
                <w:color w:val="000000"/>
                <w:kern w:val="0"/>
                <w:sz w:val="20"/>
                <w:szCs w:val="20"/>
              </w:rPr>
              <w:t>21</w:t>
            </w:r>
          </w:p>
        </w:tc>
        <w:tc>
          <w:tcPr>
            <w:tcW w:w="708"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c>
          <w:tcPr>
            <w:tcW w:w="737"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32"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eastAsia" w:eastAsia="宋体"/>
                <w:sz w:val="21"/>
                <w:szCs w:val="21"/>
                <w:lang w:eastAsia="zh-CN"/>
              </w:rPr>
            </w:pPr>
            <w:r>
              <w:rPr>
                <w:rFonts w:hint="eastAsia" w:eastAsia="宋体"/>
                <w:sz w:val="21"/>
                <w:szCs w:val="21"/>
                <w:lang w:val="en-US" w:eastAsia="zh-CN"/>
              </w:rPr>
              <w:t>3</w:t>
            </w:r>
          </w:p>
        </w:tc>
        <w:tc>
          <w:tcPr>
            <w:tcW w:w="141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sz w:val="21"/>
                <w:szCs w:val="21"/>
              </w:rPr>
            </w:pPr>
            <w:r>
              <w:rPr>
                <w:rFonts w:eastAsia="宋体"/>
                <w:sz w:val="21"/>
                <w:szCs w:val="21"/>
              </w:rPr>
              <w:t>馏程</w:t>
            </w:r>
          </w:p>
        </w:tc>
        <w:tc>
          <w:tcPr>
            <w:tcW w:w="2630" w:type="dxa"/>
            <w:noWrap w:val="0"/>
            <w:vAlign w:val="center"/>
          </w:tcPr>
          <w:p>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eastAsia="宋体"/>
                <w:sz w:val="21"/>
                <w:szCs w:val="21"/>
              </w:rPr>
            </w:pPr>
            <w:r>
              <w:rPr>
                <w:rFonts w:eastAsia="宋体"/>
                <w:color w:val="000000"/>
                <w:kern w:val="0"/>
                <w:sz w:val="20"/>
                <w:szCs w:val="20"/>
              </w:rPr>
              <w:t>GB/T 6536-2010</w:t>
            </w:r>
          </w:p>
        </w:tc>
        <w:tc>
          <w:tcPr>
            <w:tcW w:w="708"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37"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32"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eastAsia" w:eastAsia="宋体"/>
                <w:sz w:val="21"/>
                <w:szCs w:val="21"/>
                <w:lang w:eastAsia="zh-CN"/>
              </w:rPr>
            </w:pPr>
            <w:r>
              <w:rPr>
                <w:rFonts w:hint="eastAsia" w:eastAsia="宋体"/>
                <w:sz w:val="21"/>
                <w:szCs w:val="21"/>
                <w:lang w:val="en-US" w:eastAsia="zh-CN"/>
              </w:rPr>
              <w:t>4</w:t>
            </w:r>
          </w:p>
        </w:tc>
        <w:tc>
          <w:tcPr>
            <w:tcW w:w="141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sz w:val="21"/>
                <w:szCs w:val="21"/>
              </w:rPr>
            </w:pPr>
            <w:r>
              <w:rPr>
                <w:rFonts w:eastAsia="宋体"/>
                <w:sz w:val="21"/>
                <w:szCs w:val="21"/>
              </w:rPr>
              <w:t>密度</w:t>
            </w:r>
            <w:r>
              <w:rPr>
                <w:rFonts w:eastAsia="宋体"/>
                <w:sz w:val="21"/>
              </w:rPr>
              <w:t>(20℃)</w:t>
            </w:r>
          </w:p>
        </w:tc>
        <w:tc>
          <w:tcPr>
            <w:tcW w:w="263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color w:val="000000"/>
                <w:kern w:val="0"/>
                <w:sz w:val="20"/>
                <w:szCs w:val="20"/>
              </w:rPr>
            </w:pPr>
            <w:r>
              <w:rPr>
                <w:rFonts w:eastAsia="宋体"/>
                <w:color w:val="000000"/>
                <w:kern w:val="0"/>
                <w:sz w:val="20"/>
                <w:szCs w:val="20"/>
              </w:rPr>
              <w:t>GB/T</w:t>
            </w:r>
            <w:r>
              <w:rPr>
                <w:rFonts w:hint="eastAsia" w:eastAsia="宋体"/>
                <w:color w:val="000000"/>
                <w:kern w:val="0"/>
                <w:sz w:val="20"/>
                <w:szCs w:val="20"/>
              </w:rPr>
              <w:t xml:space="preserve"> </w:t>
            </w:r>
            <w:r>
              <w:rPr>
                <w:rFonts w:eastAsia="宋体"/>
                <w:color w:val="000000"/>
                <w:kern w:val="0"/>
                <w:sz w:val="20"/>
                <w:szCs w:val="20"/>
              </w:rPr>
              <w:t>1884-2000</w:t>
            </w:r>
          </w:p>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color w:val="000000"/>
                <w:kern w:val="0"/>
                <w:sz w:val="20"/>
                <w:szCs w:val="20"/>
              </w:rPr>
            </w:pPr>
            <w:r>
              <w:rPr>
                <w:rFonts w:eastAsia="宋体"/>
                <w:color w:val="000000"/>
                <w:kern w:val="0"/>
                <w:sz w:val="20"/>
                <w:szCs w:val="20"/>
              </w:rPr>
              <w:t>GB/T</w:t>
            </w:r>
            <w:r>
              <w:rPr>
                <w:rFonts w:hint="eastAsia" w:eastAsia="宋体"/>
                <w:color w:val="000000"/>
                <w:kern w:val="0"/>
                <w:sz w:val="20"/>
                <w:szCs w:val="20"/>
              </w:rPr>
              <w:t xml:space="preserve"> </w:t>
            </w:r>
            <w:r>
              <w:rPr>
                <w:rFonts w:eastAsia="宋体"/>
                <w:color w:val="000000"/>
                <w:kern w:val="0"/>
                <w:sz w:val="20"/>
                <w:szCs w:val="20"/>
              </w:rPr>
              <w:t>1885- 1998</w:t>
            </w:r>
          </w:p>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color w:val="000000"/>
                <w:kern w:val="0"/>
                <w:sz w:val="20"/>
                <w:szCs w:val="20"/>
              </w:rPr>
            </w:pPr>
            <w:r>
              <w:rPr>
                <w:rFonts w:eastAsia="宋体"/>
                <w:color w:val="000000"/>
                <w:kern w:val="0"/>
                <w:sz w:val="20"/>
                <w:szCs w:val="20"/>
              </w:rPr>
              <w:t>SH/T</w:t>
            </w:r>
            <w:r>
              <w:rPr>
                <w:rFonts w:hint="eastAsia" w:eastAsia="宋体"/>
                <w:color w:val="000000"/>
                <w:kern w:val="0"/>
                <w:sz w:val="20"/>
                <w:szCs w:val="20"/>
              </w:rPr>
              <w:t xml:space="preserve"> </w:t>
            </w:r>
            <w:r>
              <w:rPr>
                <w:rFonts w:eastAsia="宋体"/>
                <w:color w:val="000000"/>
                <w:kern w:val="0"/>
                <w:sz w:val="20"/>
                <w:szCs w:val="20"/>
              </w:rPr>
              <w:t>0604-2000</w:t>
            </w:r>
          </w:p>
        </w:tc>
        <w:tc>
          <w:tcPr>
            <w:tcW w:w="708"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37"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jc w:val="left"/>
        <w:textAlignment w:val="auto"/>
        <w:rPr>
          <w:rFonts w:ascii="宋体" w:hAnsi="宋体" w:eastAsia="宋体" w:cs="宋体"/>
          <w:color w:val="000000"/>
          <w:sz w:val="24"/>
        </w:rPr>
      </w:pPr>
      <w:r>
        <w:rPr>
          <w:rFonts w:hint="eastAsia" w:ascii="宋体" w:hAnsi="宋体" w:eastAsia="宋体" w:cs="宋体"/>
          <w:color w:val="000000"/>
          <w:sz w:val="24"/>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jc w:val="left"/>
        <w:textAlignment w:val="auto"/>
        <w:rPr>
          <w:rFonts w:ascii="宋体" w:hAnsi="宋体" w:eastAsia="宋体" w:cs="宋体"/>
        </w:rPr>
      </w:pPr>
      <w:r>
        <w:rPr>
          <w:rFonts w:hint="eastAsia" w:ascii="宋体" w:hAnsi="宋体" w:eastAsia="宋体" w:cs="宋体"/>
          <w:color w:val="000000"/>
          <w:sz w:val="24"/>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adjustRightIn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三、判定规则</w:t>
      </w:r>
    </w:p>
    <w:p>
      <w:pPr>
        <w:keepNext w:val="0"/>
        <w:keepLines w:val="0"/>
        <w:pageBreakBefore w:val="0"/>
        <w:kinsoku/>
        <w:wordWrap/>
        <w:overflowPunct/>
        <w:topLinePunct w:val="0"/>
        <w:bidi w:val="0"/>
        <w:adjustRightInd/>
        <w:spacing w:line="560" w:lineRule="exact"/>
        <w:ind w:firstLine="640" w:firstLineChars="200"/>
        <w:jc w:val="left"/>
        <w:textAlignment w:val="auto"/>
        <w:rPr>
          <w:rFonts w:eastAsia="楷体_GB2312" w:cs="楷体_GB2312"/>
          <w:kern w:val="0"/>
          <w:sz w:val="32"/>
          <w:szCs w:val="32"/>
        </w:rPr>
      </w:pPr>
      <w:r>
        <w:rPr>
          <w:rFonts w:hint="eastAsia" w:eastAsia="楷体_GB2312" w:cs="楷体_GB2312"/>
          <w:sz w:val="32"/>
          <w:szCs w:val="32"/>
        </w:rPr>
        <w:t>（一）</w:t>
      </w:r>
      <w:r>
        <w:rPr>
          <w:rFonts w:hint="eastAsia" w:eastAsia="楷体_GB2312" w:cs="楷体_GB2312"/>
          <w:kern w:val="0"/>
          <w:sz w:val="32"/>
          <w:szCs w:val="32"/>
        </w:rPr>
        <w:t>依据标准</w:t>
      </w:r>
    </w:p>
    <w:p>
      <w:pPr>
        <w:pStyle w:val="5"/>
        <w:keepNext w:val="0"/>
        <w:keepLines w:val="0"/>
        <w:pageBreakBefore w:val="0"/>
        <w:kinsoku/>
        <w:wordWrap/>
        <w:overflowPunct/>
        <w:topLinePunct w:val="0"/>
        <w:bidi w:val="0"/>
        <w:adjustRightInd/>
        <w:spacing w:line="560" w:lineRule="exact"/>
        <w:ind w:firstLine="640"/>
        <w:textAlignment w:val="auto"/>
        <w:rPr>
          <w:rFonts w:ascii="Times New Roman" w:hAnsi="Times New Roman" w:eastAsia="仿宋_GB2312" w:cs="仿宋_GB2312"/>
          <w:sz w:val="32"/>
          <w:szCs w:val="32"/>
        </w:rPr>
      </w:pPr>
      <w:r>
        <w:rPr>
          <w:rFonts w:hint="eastAsia" w:ascii="Times New Roman" w:hAnsi="Times New Roman" w:eastAsia="仿宋_GB2312" w:cs="仿宋_GB2312"/>
          <w:sz w:val="32"/>
          <w:szCs w:val="32"/>
        </w:rPr>
        <w:t>GB 17930-2016 车用汽油</w:t>
      </w:r>
    </w:p>
    <w:p>
      <w:pPr>
        <w:pStyle w:val="5"/>
        <w:keepNext w:val="0"/>
        <w:keepLines w:val="0"/>
        <w:pageBreakBefore w:val="0"/>
        <w:kinsoku/>
        <w:wordWrap/>
        <w:overflowPunct/>
        <w:topLinePunct w:val="0"/>
        <w:bidi w:val="0"/>
        <w:adjustRightInd/>
        <w:spacing w:line="560" w:lineRule="exact"/>
        <w:ind w:firstLine="64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GB 19147-2016 车用柴油</w:t>
      </w:r>
    </w:p>
    <w:p>
      <w:pPr>
        <w:pStyle w:val="5"/>
        <w:keepNext w:val="0"/>
        <w:keepLines w:val="0"/>
        <w:pageBreakBefore w:val="0"/>
        <w:kinsoku/>
        <w:wordWrap/>
        <w:overflowPunct/>
        <w:topLinePunct w:val="0"/>
        <w:bidi w:val="0"/>
        <w:adjustRightInd/>
        <w:spacing w:line="560" w:lineRule="exact"/>
        <w:ind w:firstLine="640"/>
        <w:textAlignment w:val="auto"/>
        <w:rPr>
          <w:rFonts w:ascii="Times New Roman" w:hAnsi="Times New Roman" w:eastAsia="仿宋_GB2312" w:cs="仿宋_GB2312"/>
          <w:sz w:val="32"/>
          <w:szCs w:val="32"/>
        </w:rPr>
      </w:pPr>
      <w:r>
        <w:rPr>
          <w:rFonts w:hint="eastAsia" w:ascii="Times New Roman" w:hAnsi="Times New Roman" w:eastAsia="仿宋_GB2312" w:cs="仿宋_GB2312"/>
          <w:sz w:val="32"/>
          <w:szCs w:val="32"/>
        </w:rPr>
        <w:t>GB 19147-2016 车用柴油 第1号修改单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sz w:val="32"/>
          <w:szCs w:val="32"/>
        </w:rPr>
      </w:pPr>
      <w:r>
        <w:rPr>
          <w:rFonts w:hint="eastAsia"/>
          <w:sz w:val="32"/>
          <w:szCs w:val="32"/>
        </w:rPr>
        <w:t>现行有效的企业标准、团体标准、地方标准及产品明示质量要求</w:t>
      </w:r>
    </w:p>
    <w:p>
      <w:pPr>
        <w:spacing w:beforeLines="0" w:afterLines="0"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《广东省人民政府关于全面推广使用国</w:t>
      </w:r>
      <w:r>
        <w:rPr>
          <w:rFonts w:hint="eastAsia" w:ascii="仿宋_GB2312" w:hAnsi="仿宋_GB2312" w:cs="仿宋_GB2312"/>
          <w:sz w:val="32"/>
          <w:szCs w:val="32"/>
          <w:lang w:val="en-US" w:eastAsia="zh-CN"/>
        </w:rPr>
        <w:t>VI</w:t>
      </w:r>
      <w:r>
        <w:rPr>
          <w:rFonts w:hint="eastAsia" w:ascii="仿宋_GB2312" w:hAnsi="仿宋_GB2312" w:eastAsia="仿宋_GB2312" w:cs="仿宋_GB2312"/>
          <w:sz w:val="32"/>
          <w:szCs w:val="32"/>
        </w:rPr>
        <w:t>B车用汽油的通知》（粤府函〔2022〕159号）</w:t>
      </w:r>
    </w:p>
    <w:p>
      <w:pPr>
        <w:keepNext w:val="0"/>
        <w:keepLines w:val="0"/>
        <w:pageBreakBefore w:val="0"/>
        <w:widowControl/>
        <w:kinsoku/>
        <w:wordWrap/>
        <w:overflowPunct/>
        <w:topLinePunct w:val="0"/>
        <w:bidi w:val="0"/>
        <w:adjustRightInd/>
        <w:spacing w:line="560" w:lineRule="exact"/>
        <w:ind w:firstLine="640" w:firstLineChars="200"/>
        <w:textAlignment w:val="auto"/>
        <w:rPr>
          <w:rFonts w:eastAsia="楷体_GB2312"/>
          <w:bCs/>
          <w:kern w:val="0"/>
          <w:sz w:val="32"/>
          <w:szCs w:val="32"/>
        </w:rPr>
      </w:pPr>
      <w:r>
        <w:rPr>
          <w:rFonts w:eastAsia="楷体_GB2312"/>
          <w:bCs/>
          <w:kern w:val="0"/>
          <w:sz w:val="32"/>
          <w:szCs w:val="32"/>
        </w:rPr>
        <w:t>（二）判定原则</w:t>
      </w:r>
    </w:p>
    <w:p>
      <w:pPr>
        <w:keepNext w:val="0"/>
        <w:keepLines w:val="0"/>
        <w:pageBreakBefore w:val="0"/>
        <w:kinsoku/>
        <w:wordWrap/>
        <w:overflowPunct/>
        <w:topLinePunct w:val="0"/>
        <w:bidi w:val="0"/>
        <w:adjustRightInd/>
        <w:snapToGrid w:val="0"/>
        <w:spacing w:line="560" w:lineRule="exact"/>
        <w:ind w:firstLine="640" w:firstLineChars="200"/>
        <w:textAlignment w:val="auto"/>
        <w:rPr>
          <w:rFonts w:ascii="仿宋_GB2312" w:hAnsi="仿宋_GB2312" w:cs="仿宋_GB2312"/>
          <w:sz w:val="32"/>
          <w:szCs w:val="32"/>
        </w:rPr>
      </w:pPr>
      <w:r>
        <w:rPr>
          <w:rFonts w:hint="eastAsia" w:ascii="仿宋_GB2312" w:hAnsi="仿宋_GB2312" w:cs="仿宋_GB2312"/>
          <w:sz w:val="32"/>
          <w:szCs w:val="32"/>
        </w:rPr>
        <w:t>经检验，检验项目全部合格，判定为抽取的样本所检项目未检出不合格；检验项目中任一项或一项以上不合格，判定为被抽查产品不合格。</w:t>
      </w:r>
    </w:p>
    <w:p>
      <w:pPr>
        <w:pStyle w:val="5"/>
        <w:keepNext w:val="0"/>
        <w:keepLines w:val="0"/>
        <w:pageBreakBefore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5"/>
        <w:keepNext w:val="0"/>
        <w:keepLines w:val="0"/>
        <w:pageBreakBefore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keepNext w:val="0"/>
        <w:keepLines w:val="0"/>
        <w:pageBreakBefore w:val="0"/>
        <w:kinsoku/>
        <w:wordWrap/>
        <w:overflowPunct/>
        <w:topLinePunct w:val="0"/>
        <w:bidi w:val="0"/>
        <w:adjustRightInd/>
        <w:spacing w:line="560" w:lineRule="exact"/>
        <w:ind w:firstLine="640" w:firstLineChars="200"/>
        <w:textAlignment w:val="auto"/>
        <w:rPr>
          <w:rFonts w:ascii="仿宋_GB2312" w:hAnsi="仿宋_GB2312" w:cs="仿宋_GB2312"/>
          <w:sz w:val="32"/>
          <w:szCs w:val="32"/>
        </w:rPr>
      </w:pPr>
      <w:r>
        <w:rPr>
          <w:rFonts w:hint="eastAsia" w:ascii="仿宋_GB2312" w:hAnsi="仿宋_GB2312" w:cs="仿宋_GB2312"/>
          <w:sz w:val="32"/>
          <w:szCs w:val="32"/>
        </w:rPr>
        <w:t>检验中发现因样品失效或者其他原因致使检验无法进行的，检验人员应如实记录，并提供相关证明材料，报送组织监督抽查的市场监管部门。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宋体"/>
    <w:panose1 w:val="02010609030101010101"/>
    <w:charset w:val="86"/>
    <w:family w:val="modern"/>
    <w:pitch w:val="default"/>
    <w:sig w:usb0="00000000" w:usb1="00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4ZjM1ZGY3OTg4NjMyZDJmYTU2NzljZWY5NDYxMzAifQ=="/>
  </w:docVars>
  <w:rsids>
    <w:rsidRoot w:val="00000000"/>
    <w:rsid w:val="27B16943"/>
    <w:rsid w:val="2D223853"/>
    <w:rsid w:val="3BB32D4D"/>
    <w:rsid w:val="3BBEB7EE"/>
    <w:rsid w:val="51BD3FF0"/>
    <w:rsid w:val="7B9E6C31"/>
    <w:rsid w:val="DF7E9B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宋体"/>
      <w:sz w:val="21"/>
      <w:szCs w:val="21"/>
    </w:rPr>
  </w:style>
  <w:style w:type="paragraph" w:customStyle="1" w:styleId="5">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1299</Words>
  <Characters>1627</Characters>
  <Lines>0</Lines>
  <Paragraphs>0</Paragraphs>
  <TotalTime>1</TotalTime>
  <ScaleCrop>false</ScaleCrop>
  <LinksUpToDate>false</LinksUpToDate>
  <CharactersWithSpaces>1658</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2022-08-25T17:52:00Z</dcterms:created>
  <dc:creator>Administrator</dc:creator>
  <cp:lastModifiedBy>dxkj</cp:lastModifiedBy>
  <cp:lastPrinted>2023-05-26T19:15:00Z</cp:lastPrinted>
  <dcterms:modified xsi:type="dcterms:W3CDTF">2023-05-26T11:29:30Z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33B018F1E08C4C97A945021AC6A96484</vt:lpwstr>
  </property>
</Properties>
</file>