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Times New Roman" w:hAnsi="Times New Roman" w:eastAsia="黑体" w:cs="Times New Roman"/>
          <w:sz w:val="32"/>
        </w:rPr>
      </w:pPr>
      <w:r>
        <w:rPr>
          <w:rFonts w:hint="default" w:ascii="Times New Roman" w:hAnsi="Times New Roman" w:eastAsia="黑体" w:cs="Times New Roman"/>
          <w:sz w:val="32"/>
        </w:rPr>
        <w:t>附件</w:t>
      </w:r>
      <w:bookmarkStart w:id="0" w:name="_GoBack"/>
      <w:r>
        <w:rPr>
          <w:rFonts w:hint="default" w:ascii="Times New Roman" w:hAnsi="Times New Roman" w:eastAsia="黑体" w:cs="Times New Roman"/>
          <w:sz w:val="32"/>
        </w:rPr>
        <w:t>2</w:t>
      </w:r>
    </w:p>
    <w:p>
      <w:pPr>
        <w:widowControl/>
        <w:jc w:val="left"/>
        <w:rPr>
          <w:rFonts w:hint="eastAsia" w:ascii="黑体" w:hAnsi="黑体" w:eastAsia="黑体" w:cs="黑体"/>
          <w:sz w:val="32"/>
        </w:rPr>
      </w:pPr>
    </w:p>
    <w:p>
      <w:pPr>
        <w:spacing w:line="590" w:lineRule="exact"/>
        <w:jc w:val="center"/>
        <w:rPr>
          <w:rFonts w:ascii="Times New Roman" w:hAnsi="Times New Roman" w:eastAsia="方正小标宋简体" w:cs="Times New Roman"/>
          <w:spacing w:val="-1"/>
          <w:position w:val="1"/>
          <w:sz w:val="44"/>
          <w:szCs w:val="44"/>
        </w:rPr>
      </w:pPr>
      <w:r>
        <w:rPr>
          <w:rFonts w:ascii="Times New Roman" w:hAnsi="Times New Roman" w:eastAsia="方正小标宋简体" w:cs="Times New Roman"/>
          <w:spacing w:val="-1"/>
          <w:position w:val="1"/>
          <w:sz w:val="44"/>
          <w:szCs w:val="44"/>
        </w:rPr>
        <w:t>广东省</w:t>
      </w:r>
      <w:r>
        <w:rPr>
          <w:rFonts w:hint="eastAsia" w:ascii="Times New Roman" w:hAnsi="Times New Roman" w:eastAsia="方正小标宋简体" w:cs="Times New Roman"/>
          <w:spacing w:val="-1"/>
          <w:position w:val="1"/>
          <w:sz w:val="44"/>
          <w:szCs w:val="44"/>
        </w:rPr>
        <w:t>电冰箱</w:t>
      </w:r>
      <w:r>
        <w:rPr>
          <w:rFonts w:ascii="Times New Roman" w:hAnsi="Times New Roman" w:eastAsia="方正小标宋简体" w:cs="Times New Roman"/>
          <w:spacing w:val="-1"/>
          <w:position w:val="1"/>
          <w:sz w:val="44"/>
          <w:szCs w:val="44"/>
        </w:rPr>
        <w:t>产品质量监督抽查实施细则</w:t>
      </w:r>
    </w:p>
    <w:bookmarkEnd w:id="0"/>
    <w:p>
      <w:pPr>
        <w:widowControl w:val="0"/>
        <w:jc w:val="both"/>
        <w:outlineLvl w:val="0"/>
        <w:rPr>
          <w:rFonts w:ascii="Times New Roman" w:hAnsi="Times New Roman" w:eastAsia="方正小标宋简体" w:cs="Times New Roman"/>
          <w:kern w:val="44"/>
          <w:sz w:val="38"/>
          <w:szCs w:val="24"/>
          <w:lang w:val="en-US" w:eastAsia="zh-CN" w:bidi="ar-SA"/>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Times New Roman" w:hAnsi="Times New Roman" w:cs="Times New Roman"/>
          <w:sz w:val="32"/>
          <w:szCs w:val="32"/>
        </w:rPr>
      </w:pPr>
      <w:r>
        <w:rPr>
          <w:rFonts w:ascii="Times New Roman" w:hAnsi="Times New Roman" w:cs="Times New Roman"/>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Times New Roman" w:hAnsi="Times New Roman" w:cs="Times New Roman"/>
          <w:sz w:val="32"/>
          <w:szCs w:val="32"/>
        </w:rPr>
      </w:pPr>
      <w:r>
        <w:rPr>
          <w:rFonts w:ascii="Times New Roman" w:hAnsi="Times New Roman" w:cs="Times New Roman"/>
          <w:color w:val="333333"/>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16" w:firstLineChars="200"/>
        <w:textAlignment w:val="auto"/>
        <w:rPr>
          <w:rFonts w:ascii="Times New Roman" w:hAnsi="Times New Roman" w:cs="Times New Roman"/>
          <w:color w:val="000000"/>
          <w:sz w:val="32"/>
          <w:szCs w:val="32"/>
        </w:rPr>
      </w:pPr>
      <w:r>
        <w:rPr>
          <w:rFonts w:ascii="Times New Roman" w:hAnsi="Times New Roman" w:cs="Times New Roman"/>
          <w:color w:val="000000"/>
          <w:spacing w:val="-6"/>
          <w:sz w:val="32"/>
          <w:szCs w:val="32"/>
        </w:rPr>
        <w:t>抽查数量：每款产品抽取2组样本，第1组用于检验，第2</w:t>
      </w:r>
      <w:r>
        <w:rPr>
          <w:rFonts w:ascii="Times New Roman" w:hAnsi="Times New Roman" w:cs="Times New Roman"/>
          <w:color w:val="000000"/>
          <w:sz w:val="32"/>
          <w:szCs w:val="32"/>
        </w:rPr>
        <w:t>组</w:t>
      </w:r>
      <w:r>
        <w:rPr>
          <w:rFonts w:ascii="Times New Roman" w:hAnsi="Times New Roman" w:cs="Times New Roman"/>
          <w:color w:val="000000"/>
          <w:spacing w:val="6"/>
          <w:sz w:val="32"/>
          <w:szCs w:val="32"/>
        </w:rPr>
        <w:t>用于备样。其中</w:t>
      </w:r>
      <w:r>
        <w:rPr>
          <w:rFonts w:hint="eastAsia" w:ascii="Times New Roman" w:hAnsi="Times New Roman" w:cs="Times New Roman"/>
          <w:color w:val="000000"/>
          <w:spacing w:val="6"/>
          <w:sz w:val="32"/>
          <w:szCs w:val="32"/>
          <w:lang w:eastAsia="zh-CN"/>
        </w:rPr>
        <w:t>，</w:t>
      </w:r>
      <w:r>
        <w:rPr>
          <w:rFonts w:ascii="Times New Roman" w:hAnsi="Times New Roman" w:cs="Times New Roman"/>
          <w:color w:val="000000"/>
          <w:spacing w:val="6"/>
          <w:sz w:val="32"/>
          <w:szCs w:val="32"/>
        </w:rPr>
        <w:t>第1组抽取样品1台（套），第2组抽取样品1</w:t>
      </w:r>
      <w:r>
        <w:rPr>
          <w:rFonts w:ascii="Times New Roman" w:hAnsi="Times New Roman" w:cs="Times New Roman"/>
          <w:color w:val="000000"/>
          <w:sz w:val="32"/>
          <w:szCs w:val="32"/>
        </w:rPr>
        <w:t>台（套）。</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二、主要检验项目及检验项目属性划分</w:t>
      </w:r>
    </w:p>
    <w:tbl>
      <w:tblPr>
        <w:tblStyle w:val="4"/>
        <w:tblW w:w="9675" w:type="dxa"/>
        <w:tblInd w:w="-1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80"/>
        <w:gridCol w:w="1800"/>
        <w:gridCol w:w="855"/>
        <w:gridCol w:w="1095"/>
        <w:gridCol w:w="915"/>
        <w:gridCol w:w="1095"/>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序号</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检验项目</w:t>
            </w:r>
          </w:p>
        </w:tc>
        <w:tc>
          <w:tcPr>
            <w:tcW w:w="180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检验方法</w:t>
            </w: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强制性</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非强制性</w:t>
            </w: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重要项</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较重要项</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22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标志和说明</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4706.1-2005 GB 4706.13-2014</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对触及带电部件的防护</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输入功率和电流</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工作温度下的泄漏电流和电气强度</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耐潮湿</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泄漏电流和电气强度</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稳定性和机械危险</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snapToGrid w:val="0"/>
              <w:spacing w:line="300" w:lineRule="exact"/>
              <w:jc w:val="center"/>
              <w:rPr>
                <w:rFonts w:hint="eastAsia" w:ascii="宋体" w:hAnsi="宋体" w:eastAsia="宋体" w:cs="宋体"/>
                <w:sz w:val="21"/>
                <w:szCs w:val="21"/>
              </w:rPr>
            </w:pPr>
          </w:p>
        </w:tc>
        <w:tc>
          <w:tcPr>
            <w:tcW w:w="915"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机械强度</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9</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结构（不包括22.46条的试验）</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内部布线</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11</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电源连接和外部软线</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12</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外部导线用接线端子</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13</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接地措施</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14</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螺钉和连接</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电气间隙、爬电距离和固体绝缘</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16</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储藏温度</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GB/T 8059-2016</w:t>
            </w: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17</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冷冻能力</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18</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总容积</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12021.2-2015</w:t>
            </w: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19</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耗电量</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能效等级（能效指数）</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21</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噪声</w:t>
            </w:r>
          </w:p>
        </w:tc>
        <w:tc>
          <w:tcPr>
            <w:tcW w:w="180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19606-2004</w:t>
            </w: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22</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连续骚扰电压</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GB 4343.1-2018</w:t>
            </w:r>
          </w:p>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或GB 4343.1-2009</w:t>
            </w: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0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23</w:t>
            </w:r>
          </w:p>
        </w:tc>
        <w:tc>
          <w:tcPr>
            <w:tcW w:w="228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骚扰功率、辐射骚扰</w:t>
            </w:r>
          </w:p>
        </w:tc>
        <w:tc>
          <w:tcPr>
            <w:tcW w:w="1800" w:type="dxa"/>
            <w:vMerge w:val="continue"/>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eastAsia" w:ascii="宋体" w:hAnsi="宋体" w:eastAsia="宋体" w:cs="宋体"/>
                <w:sz w:val="21"/>
                <w:szCs w:val="21"/>
              </w:rPr>
            </w:pPr>
          </w:p>
        </w:tc>
      </w:tr>
    </w:tbl>
    <w:p>
      <w:pPr>
        <w:adjustRightInd w:val="0"/>
        <w:snapToGrid w:val="0"/>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注：由于执行标准GB 4343.1-2018于2018年5月14日发布，2020年6月1日实施，故生产日期在2018年5月14日以前的用GB 4343.1-2009标准；2018年5月14日～2020年6月1日之间的用使用说明书、证书明示的标准版本；在2020年6月1日以后的用GB 4343.1-2018标准。</w:t>
      </w:r>
    </w:p>
    <w:p>
      <w:pPr>
        <w:adjustRightInd w:val="0"/>
        <w:snapToGrid w:val="0"/>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执行企业标准、团体标准、地方标准的产品，检验项目参照上述内容执行。</w:t>
      </w:r>
    </w:p>
    <w:p>
      <w:pPr>
        <w:adjustRightInd w:val="0"/>
        <w:snapToGrid w:val="0"/>
        <w:spacing w:line="400" w:lineRule="exact"/>
        <w:ind w:firstLine="420" w:firstLineChars="200"/>
        <w:jc w:val="left"/>
        <w:rPr>
          <w:rFonts w:hint="eastAsia" w:ascii="宋体" w:hAnsi="宋体" w:eastAsia="宋体" w:cs="宋体"/>
          <w:color w:val="000000"/>
          <w:sz w:val="21"/>
          <w:szCs w:val="21"/>
        </w:rPr>
      </w:pPr>
      <w:r>
        <w:rPr>
          <w:rFonts w:hint="eastAsia" w:ascii="宋体" w:hAnsi="宋体" w:eastAsia="宋体" w:cs="宋体"/>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kinsoku/>
        <w:wordWrap/>
        <w:overflowPunct/>
        <w:topLinePunct w:val="0"/>
        <w:bidi w:val="0"/>
        <w:adjustRightInd/>
        <w:spacing w:line="600" w:lineRule="exact"/>
        <w:ind w:firstLine="640" w:firstLineChars="200"/>
        <w:jc w:val="left"/>
        <w:textAlignment w:val="auto"/>
        <w:rPr>
          <w:rFonts w:ascii="Times New Roman" w:hAnsi="Times New Roman" w:eastAsia="楷体_GB2312" w:cs="Times New Roman"/>
          <w:kern w:val="0"/>
          <w:sz w:val="32"/>
          <w:szCs w:val="32"/>
        </w:rPr>
      </w:pPr>
      <w:r>
        <w:rPr>
          <w:rFonts w:ascii="Times New Roman" w:hAnsi="Times New Roman" w:eastAsia="楷体_GB2312" w:cs="Times New Roman"/>
          <w:sz w:val="32"/>
          <w:szCs w:val="32"/>
        </w:rPr>
        <w:t>（一）</w:t>
      </w:r>
      <w:r>
        <w:rPr>
          <w:rFonts w:ascii="Times New Roman" w:hAnsi="Times New Roman" w:eastAsia="楷体_GB2312" w:cs="Times New Roman"/>
          <w:kern w:val="0"/>
          <w:sz w:val="32"/>
          <w:szCs w:val="32"/>
        </w:rPr>
        <w:t>依据标准</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 4706.1-2005</w:t>
      </w:r>
      <w:r>
        <w:rPr>
          <w:rFonts w:hint="eastAsia" w:ascii="Times New Roman" w:hAnsi="Times New Roman" w:cs="Times New Roman"/>
          <w:kern w:val="0"/>
          <w:sz w:val="32"/>
          <w:szCs w:val="32"/>
        </w:rPr>
        <w:t>《家用和类似用途电器的安全第1部分：通用要求》</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 4706.</w:t>
      </w:r>
      <w:r>
        <w:rPr>
          <w:rFonts w:hint="eastAsia" w:ascii="Times New Roman" w:hAnsi="Times New Roman" w:cs="Times New Roman"/>
          <w:kern w:val="0"/>
          <w:sz w:val="32"/>
          <w:szCs w:val="32"/>
        </w:rPr>
        <w:t>13</w:t>
      </w:r>
      <w:r>
        <w:rPr>
          <w:rFonts w:ascii="Times New Roman" w:hAnsi="Times New Roman" w:cs="Times New Roman"/>
          <w:kern w:val="0"/>
          <w:sz w:val="32"/>
          <w:szCs w:val="32"/>
        </w:rPr>
        <w:t>-201</w:t>
      </w:r>
      <w:r>
        <w:rPr>
          <w:rFonts w:hint="eastAsia" w:ascii="Times New Roman" w:hAnsi="Times New Roman" w:cs="Times New Roman"/>
          <w:kern w:val="0"/>
          <w:sz w:val="32"/>
          <w:szCs w:val="32"/>
        </w:rPr>
        <w:t xml:space="preserve">4《家用和类似用途电器的安全 </w:t>
      </w:r>
      <w:r>
        <w:rPr>
          <w:rFonts w:ascii="Times New Roman" w:hAnsi="Times New Roman" w:cs="Times New Roman"/>
          <w:kern w:val="0"/>
          <w:sz w:val="32"/>
          <w:szCs w:val="32"/>
        </w:rPr>
        <w:t>制冷器具、冰淇淋机和制冰机的特殊要求</w:t>
      </w:r>
      <w:r>
        <w:rPr>
          <w:rFonts w:hint="eastAsia" w:ascii="Times New Roman" w:hAnsi="Times New Roman" w:cs="Times New Roman"/>
          <w:kern w:val="0"/>
          <w:sz w:val="32"/>
          <w:szCs w:val="32"/>
        </w:rPr>
        <w:t>》</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cs="仿宋_GB2312"/>
          <w:kern w:val="0"/>
          <w:sz w:val="32"/>
          <w:szCs w:val="32"/>
        </w:rPr>
      </w:pPr>
      <w:r>
        <w:rPr>
          <w:rFonts w:ascii="Times New Roman" w:hAnsi="Times New Roman" w:cs="Times New Roman"/>
          <w:kern w:val="0"/>
          <w:sz w:val="32"/>
          <w:szCs w:val="32"/>
        </w:rPr>
        <w:t>GB 12021.</w:t>
      </w:r>
      <w:r>
        <w:rPr>
          <w:rFonts w:hint="eastAsia" w:ascii="Times New Roman" w:hAnsi="Times New Roman" w:cs="Times New Roman"/>
          <w:kern w:val="0"/>
          <w:sz w:val="32"/>
          <w:szCs w:val="32"/>
        </w:rPr>
        <w:t>2</w:t>
      </w:r>
      <w:r>
        <w:rPr>
          <w:rFonts w:hint="eastAsia" w:ascii="Times New Roman" w:hAnsi="Times New Roman" w:cs="Times New Roman"/>
          <w:sz w:val="32"/>
          <w:szCs w:val="32"/>
        </w:rPr>
        <w:t>-</w:t>
      </w:r>
      <w:r>
        <w:rPr>
          <w:rFonts w:ascii="Times New Roman" w:hAnsi="Times New Roman" w:cs="Times New Roman"/>
          <w:kern w:val="0"/>
          <w:sz w:val="32"/>
          <w:szCs w:val="32"/>
        </w:rPr>
        <w:t>201</w:t>
      </w:r>
      <w:r>
        <w:rPr>
          <w:rFonts w:hint="eastAsia" w:ascii="Times New Roman" w:hAnsi="Times New Roman" w:cs="Times New Roman"/>
          <w:kern w:val="0"/>
          <w:sz w:val="32"/>
          <w:szCs w:val="32"/>
        </w:rPr>
        <w:t>5</w:t>
      </w:r>
      <w:r>
        <w:rPr>
          <w:rFonts w:hint="eastAsia" w:ascii="Times New Roman" w:hAnsi="Times New Roman" w:cs="仿宋_GB2312"/>
          <w:kern w:val="0"/>
          <w:sz w:val="32"/>
          <w:szCs w:val="32"/>
        </w:rPr>
        <w:t>《</w:t>
      </w:r>
      <w:r>
        <w:rPr>
          <w:rFonts w:ascii="Times New Roman" w:hAnsi="Times New Roman" w:cs="Times New Roman"/>
          <w:kern w:val="0"/>
          <w:sz w:val="32"/>
          <w:szCs w:val="32"/>
        </w:rPr>
        <w:t>家用电冰箱耗电量限定值及能效等级</w:t>
      </w:r>
      <w:r>
        <w:rPr>
          <w:rFonts w:hint="eastAsia" w:ascii="Times New Roman" w:hAnsi="Times New Roman" w:cs="Times New Roman"/>
          <w:kern w:val="0"/>
          <w:sz w:val="32"/>
          <w:szCs w:val="32"/>
        </w:rPr>
        <w:t>》</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cs="Times New Roman"/>
          <w:sz w:val="32"/>
        </w:rPr>
      </w:pPr>
      <w:r>
        <w:rPr>
          <w:rFonts w:ascii="Times New Roman" w:hAnsi="Times New Roman" w:cs="Times New Roman"/>
          <w:sz w:val="32"/>
        </w:rPr>
        <w:t>GB 4343.1-2009《家用电器、电动工具和类似器具的电磁兼容要求 第1部分：发射》</w:t>
      </w:r>
      <w:r>
        <w:rPr>
          <w:rFonts w:hint="eastAsia" w:ascii="Times New Roman" w:hAnsi="Times New Roman" w:cs="仿宋_GB2312"/>
          <w:kern w:val="0"/>
          <w:sz w:val="32"/>
          <w:szCs w:val="32"/>
        </w:rPr>
        <w:t>（</w:t>
      </w:r>
      <w:r>
        <w:rPr>
          <w:rFonts w:ascii="Times New Roman" w:hAnsi="Times New Roman" w:cs="仿宋_GB2312"/>
          <w:kern w:val="0"/>
          <w:sz w:val="32"/>
          <w:szCs w:val="32"/>
        </w:rPr>
        <w:t>2018年5月14日</w:t>
      </w:r>
      <w:r>
        <w:rPr>
          <w:rFonts w:hint="eastAsia" w:ascii="Times New Roman" w:hAnsi="Times New Roman" w:cs="仿宋_GB2312"/>
          <w:kern w:val="0"/>
          <w:sz w:val="32"/>
          <w:szCs w:val="32"/>
        </w:rPr>
        <w:t>前生产产品适用）</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cs="Times New Roman"/>
          <w:sz w:val="32"/>
        </w:rPr>
      </w:pPr>
      <w:r>
        <w:rPr>
          <w:rFonts w:ascii="Times New Roman" w:hAnsi="Times New Roman" w:cs="Times New Roman"/>
          <w:sz w:val="32"/>
        </w:rPr>
        <w:t>GB 4343.1-2018《家用电器、电动工具和类似器具的电磁兼容要求 第1部分：发射》</w:t>
      </w:r>
      <w:r>
        <w:rPr>
          <w:rFonts w:hint="eastAsia" w:ascii="Times New Roman" w:hAnsi="Times New Roman" w:cs="仿宋_GB2312"/>
          <w:kern w:val="0"/>
          <w:sz w:val="32"/>
          <w:szCs w:val="32"/>
        </w:rPr>
        <w:t>（</w:t>
      </w:r>
      <w:r>
        <w:rPr>
          <w:rFonts w:ascii="Times New Roman" w:hAnsi="Times New Roman" w:cs="仿宋_GB2312"/>
          <w:kern w:val="0"/>
          <w:sz w:val="32"/>
          <w:szCs w:val="32"/>
        </w:rPr>
        <w:t>2020年6月1日</w:t>
      </w:r>
      <w:r>
        <w:rPr>
          <w:rFonts w:hint="eastAsia" w:ascii="Times New Roman" w:hAnsi="Times New Roman" w:cs="仿宋_GB2312"/>
          <w:kern w:val="0"/>
          <w:sz w:val="32"/>
          <w:szCs w:val="32"/>
        </w:rPr>
        <w:t>及之后生产产品适用）</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cs="Times New Roman"/>
          <w:sz w:val="32"/>
        </w:rPr>
      </w:pPr>
      <w:r>
        <w:rPr>
          <w:rFonts w:ascii="Times New Roman" w:hAnsi="Times New Roman" w:cs="Times New Roman"/>
          <w:sz w:val="32"/>
          <w:szCs w:val="21"/>
        </w:rPr>
        <w:t>GB 19606-2004</w:t>
      </w:r>
      <w:r>
        <w:rPr>
          <w:rFonts w:hint="eastAsia" w:ascii="Times New Roman" w:hAnsi="Times New Roman" w:cs="Times New Roman"/>
          <w:sz w:val="32"/>
          <w:szCs w:val="21"/>
        </w:rPr>
        <w:t>《</w:t>
      </w:r>
      <w:r>
        <w:rPr>
          <w:rFonts w:ascii="Times New Roman" w:hAnsi="Times New Roman" w:cs="Times New Roman"/>
          <w:sz w:val="32"/>
          <w:szCs w:val="21"/>
        </w:rPr>
        <w:t>家用和类似用途电器噪声限值</w:t>
      </w:r>
      <w:r>
        <w:rPr>
          <w:rFonts w:hint="eastAsia" w:ascii="Times New Roman" w:hAnsi="Times New Roman" w:cs="Times New Roman"/>
          <w:sz w:val="32"/>
          <w:szCs w:val="21"/>
        </w:rPr>
        <w:t>》</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cs="仿宋_GB2312"/>
          <w:kern w:val="0"/>
          <w:sz w:val="32"/>
          <w:szCs w:val="32"/>
        </w:rPr>
      </w:pPr>
      <w:r>
        <w:rPr>
          <w:rFonts w:ascii="Times New Roman" w:hAnsi="Times New Roman" w:cs="Times New Roman"/>
          <w:kern w:val="0"/>
          <w:sz w:val="32"/>
          <w:szCs w:val="32"/>
        </w:rPr>
        <w:t>GB</w:t>
      </w:r>
      <w:r>
        <w:rPr>
          <w:rFonts w:hint="eastAsia" w:ascii="Times New Roman" w:hAnsi="Times New Roman" w:cs="Times New Roman"/>
          <w:kern w:val="0"/>
          <w:sz w:val="32"/>
          <w:szCs w:val="32"/>
        </w:rPr>
        <w:t>/T 8059-2016《</w:t>
      </w:r>
      <w:r>
        <w:rPr>
          <w:rFonts w:ascii="Times New Roman" w:hAnsi="Times New Roman" w:cs="Times New Roman"/>
          <w:kern w:val="0"/>
          <w:sz w:val="32"/>
          <w:szCs w:val="32"/>
        </w:rPr>
        <w:t>家用和类似用途制冷器具</w:t>
      </w:r>
      <w:r>
        <w:rPr>
          <w:rFonts w:hint="eastAsia" w:ascii="Times New Roman" w:hAnsi="Times New Roman" w:cs="Times New Roman"/>
          <w:kern w:val="0"/>
          <w:sz w:val="32"/>
          <w:szCs w:val="32"/>
        </w:rPr>
        <w:t>》</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cs="Times New Roman"/>
          <w:sz w:val="32"/>
        </w:rPr>
      </w:pPr>
      <w:r>
        <w:rPr>
          <w:rFonts w:ascii="Times New Roman" w:hAnsi="Times New Roman" w:cs="Times New Roman"/>
          <w:sz w:val="32"/>
        </w:rPr>
        <w:t>现行有效的企业标准、团体标准、地方标准及产品明示质量要求。</w:t>
      </w:r>
    </w:p>
    <w:p>
      <w:pPr>
        <w:keepNext w:val="0"/>
        <w:keepLines w:val="0"/>
        <w:pageBreakBefore w:val="0"/>
        <w:widowControl/>
        <w:kinsoku/>
        <w:wordWrap/>
        <w:overflowPunct/>
        <w:topLinePunct w:val="0"/>
        <w:bidi w:val="0"/>
        <w:adjustRightInd/>
        <w:spacing w:line="600" w:lineRule="exact"/>
        <w:ind w:firstLine="640" w:firstLineChars="200"/>
        <w:textAlignment w:val="auto"/>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rPr>
        <w:t>（二）判定原则</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按照产品质量相关法律法规的规定判定。</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cs="Times New Roman"/>
          <w:sz w:val="32"/>
        </w:rPr>
      </w:pPr>
      <w:r>
        <w:rPr>
          <w:rFonts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6D50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keepNext/>
      <w:keepLines/>
      <w:spacing w:line="600" w:lineRule="exact"/>
      <w:outlineLvl w:val="2"/>
    </w:pPr>
    <w:rPr>
      <w:rFonts w:eastAsia="楷体_GB2312"/>
      <w:b/>
      <w:sz w:val="30"/>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2022-09-09T09:11:35Z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