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rPr>
      </w:pPr>
      <w:r>
        <w:rPr>
          <w:rFonts w:hint="default" w:ascii="Times New Roman" w:hAnsi="Times New Roman" w:eastAsia="黑体" w:cs="Times New Roman"/>
          <w:sz w:val="32"/>
        </w:rPr>
        <w:t>附件</w:t>
      </w:r>
      <w:bookmarkStart w:id="5" w:name="_GoBack"/>
      <w:r>
        <w:rPr>
          <w:rFonts w:hint="default" w:ascii="Times New Roman" w:hAnsi="Times New Roman" w:eastAsia="黑体" w:cs="Times New Roman"/>
          <w:sz w:val="32"/>
        </w:rPr>
        <w:t>1</w:t>
      </w:r>
    </w:p>
    <w:p>
      <w:pPr>
        <w:rPr>
          <w:rFonts w:ascii="黑体" w:hAnsi="黑体" w:eastAsia="黑体" w:cs="黑体"/>
          <w:sz w:val="32"/>
        </w:rPr>
      </w:pPr>
    </w:p>
    <w:p>
      <w:pPr>
        <w:spacing w:line="590" w:lineRule="exact"/>
        <w:jc w:val="center"/>
        <w:rPr>
          <w:rFonts w:ascii="Times New Roman" w:hAnsi="Times New Roman" w:eastAsia="方正小标宋简体" w:cs="Times New Roman"/>
          <w:spacing w:val="-1"/>
          <w:position w:val="1"/>
          <w:sz w:val="44"/>
          <w:szCs w:val="44"/>
        </w:rPr>
      </w:pPr>
      <w:r>
        <w:rPr>
          <w:rFonts w:ascii="Times New Roman" w:hAnsi="Times New Roman" w:eastAsia="方正小标宋简体" w:cs="Times New Roman"/>
          <w:spacing w:val="-1"/>
          <w:position w:val="1"/>
          <w:sz w:val="44"/>
          <w:szCs w:val="44"/>
        </w:rPr>
        <w:t>广东省房间空气调节器产品</w:t>
      </w:r>
    </w:p>
    <w:p>
      <w:pPr>
        <w:spacing w:line="590" w:lineRule="exact"/>
        <w:jc w:val="center"/>
        <w:rPr>
          <w:rFonts w:ascii="Times New Roman" w:hAnsi="Times New Roman" w:eastAsia="方正小标宋简体" w:cs="Times New Roman"/>
          <w:spacing w:val="-1"/>
          <w:position w:val="1"/>
          <w:sz w:val="44"/>
          <w:szCs w:val="44"/>
        </w:rPr>
      </w:pPr>
      <w:r>
        <w:rPr>
          <w:rFonts w:ascii="Times New Roman" w:hAnsi="Times New Roman" w:eastAsia="方正小标宋简体" w:cs="Times New Roman"/>
          <w:spacing w:val="-1"/>
          <w:position w:val="1"/>
          <w:sz w:val="44"/>
          <w:szCs w:val="44"/>
        </w:rPr>
        <w:t>质量监督抽查实施细则</w:t>
      </w:r>
      <w:bookmarkEnd w:id="5"/>
    </w:p>
    <w:p>
      <w:pPr>
        <w:widowControl w:val="0"/>
        <w:jc w:val="both"/>
        <w:outlineLvl w:val="0"/>
        <w:rPr>
          <w:rFonts w:ascii="Times New Roman" w:hAnsi="Times New Roman" w:eastAsia="方正小标宋简体" w:cs="Times New Roman"/>
          <w:kern w:val="44"/>
          <w:sz w:val="38"/>
          <w:szCs w:val="24"/>
          <w:lang w:val="en-US" w:eastAsia="zh-CN" w:bidi="ar-SA"/>
        </w:rPr>
      </w:pPr>
    </w:p>
    <w:p>
      <w:pPr>
        <w:spacing w:line="590"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widowControl/>
        <w:spacing w:line="600" w:lineRule="exact"/>
        <w:ind w:firstLine="640" w:firstLineChars="200"/>
        <w:rPr>
          <w:rFonts w:ascii="Times New Roman" w:hAnsi="Times New Roman" w:cs="Times New Roman"/>
          <w:sz w:val="32"/>
          <w:szCs w:val="32"/>
        </w:rPr>
      </w:pPr>
      <w:r>
        <w:rPr>
          <w:rFonts w:ascii="Times New Roman" w:hAnsi="Times New Roman" w:cs="Times New Roman"/>
          <w:kern w:val="0"/>
          <w:sz w:val="32"/>
          <w:szCs w:val="32"/>
        </w:rPr>
        <w:t>以随机抽样的方式在被抽查市场主体的待销产品中抽取。</w:t>
      </w:r>
    </w:p>
    <w:p>
      <w:pPr>
        <w:widowControl/>
        <w:spacing w:line="600" w:lineRule="exact"/>
        <w:ind w:firstLine="640" w:firstLineChars="200"/>
        <w:rPr>
          <w:rFonts w:ascii="Times New Roman" w:hAnsi="Times New Roman" w:cs="Times New Roman"/>
          <w:sz w:val="32"/>
          <w:szCs w:val="32"/>
        </w:rPr>
      </w:pPr>
      <w:r>
        <w:rPr>
          <w:rFonts w:ascii="Times New Roman" w:hAnsi="Times New Roman" w:cs="Times New Roman"/>
          <w:color w:val="333333"/>
          <w:kern w:val="0"/>
          <w:sz w:val="32"/>
          <w:szCs w:val="32"/>
        </w:rPr>
        <w:t>随机数一般可使用随机数表等方法产生。</w:t>
      </w:r>
    </w:p>
    <w:p>
      <w:pPr>
        <w:spacing w:line="590" w:lineRule="exact"/>
        <w:ind w:firstLine="640" w:firstLineChars="200"/>
        <w:rPr>
          <w:rFonts w:ascii="Times New Roman" w:hAnsi="Times New Roman" w:cs="Times New Roman"/>
          <w:color w:val="000000"/>
          <w:sz w:val="32"/>
          <w:szCs w:val="32"/>
        </w:rPr>
      </w:pPr>
      <w:r>
        <w:rPr>
          <w:rFonts w:ascii="Times New Roman" w:hAnsi="Times New Roman" w:cs="Times New Roman"/>
          <w:color w:val="000000"/>
          <w:sz w:val="32"/>
          <w:szCs w:val="32"/>
        </w:rPr>
        <w:t>抽查数量：每款产品抽取2组样本，第1组用于检验，第2组用于备样。其中</w:t>
      </w:r>
      <w:r>
        <w:rPr>
          <w:rFonts w:hint="eastAsia" w:ascii="Times New Roman" w:hAnsi="Times New Roman" w:cs="Times New Roman"/>
          <w:color w:val="000000"/>
          <w:sz w:val="32"/>
          <w:szCs w:val="32"/>
          <w:lang w:eastAsia="zh-CN"/>
        </w:rPr>
        <w:t>，</w:t>
      </w:r>
      <w:r>
        <w:rPr>
          <w:rFonts w:ascii="Times New Roman" w:hAnsi="Times New Roman" w:cs="Times New Roman"/>
          <w:color w:val="000000"/>
          <w:sz w:val="32"/>
          <w:szCs w:val="32"/>
        </w:rPr>
        <w:t>第1组抽取样品</w:t>
      </w:r>
      <w:r>
        <w:rPr>
          <w:rFonts w:hint="eastAsia" w:ascii="Times New Roman" w:hAnsi="Times New Roman" w:cs="Times New Roman"/>
          <w:color w:val="000000"/>
          <w:sz w:val="32"/>
          <w:szCs w:val="32"/>
        </w:rPr>
        <w:t>1</w:t>
      </w:r>
      <w:r>
        <w:rPr>
          <w:rFonts w:ascii="Times New Roman" w:hAnsi="Times New Roman" w:cs="Times New Roman"/>
          <w:color w:val="000000"/>
          <w:sz w:val="32"/>
          <w:szCs w:val="32"/>
        </w:rPr>
        <w:t>台（套），第2组抽取样品1台（套）。</w:t>
      </w:r>
    </w:p>
    <w:p>
      <w:pPr>
        <w:spacing w:line="590"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二、主要检验项目及检验项目属性划分</w:t>
      </w:r>
    </w:p>
    <w:p>
      <w:pPr>
        <w:jc w:val="center"/>
        <w:rPr>
          <w:lang w:val="en-US" w:eastAsia="zh-CN"/>
        </w:rPr>
      </w:pPr>
      <w:r>
        <w:rPr>
          <w:lang w:val="en-US" w:eastAsia="zh-CN"/>
        </w:rPr>
        <w:t>表</w:t>
      </w:r>
      <w:r>
        <w:rPr>
          <w:rFonts w:hint="eastAsia"/>
          <w:lang w:val="en-US" w:eastAsia="zh-CN"/>
        </w:rPr>
        <w:t xml:space="preserve">1  </w:t>
      </w:r>
      <w:r>
        <w:rPr>
          <w:lang w:val="en-US" w:eastAsia="zh-CN"/>
        </w:rPr>
        <w:t>转速一定型（定频）房间空气调节器</w:t>
      </w:r>
    </w:p>
    <w:p>
      <w:pPr>
        <w:jc w:val="center"/>
        <w:rPr>
          <w:lang w:val="en-US" w:eastAsia="zh-CN"/>
        </w:rPr>
      </w:pPr>
      <w:r>
        <w:rPr>
          <w:rFonts w:hint="eastAsia"/>
          <w:lang w:val="en-US" w:eastAsia="zh-CN"/>
        </w:rPr>
        <w:t>（</w:t>
      </w:r>
      <w:r>
        <w:rPr>
          <w:lang w:val="en-US" w:eastAsia="zh-CN"/>
        </w:rPr>
        <w:t>能效标准依据GB 12021.3-2010的产品</w:t>
      </w:r>
      <w:r>
        <w:rPr>
          <w:rFonts w:hint="eastAsia"/>
          <w:lang w:val="en-US" w:eastAsia="zh-CN"/>
        </w:rPr>
        <w:t>）</w:t>
      </w:r>
    </w:p>
    <w:tbl>
      <w:tblPr>
        <w:tblStyle w:val="4"/>
        <w:tblW w:w="9795" w:type="dxa"/>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2388"/>
        <w:gridCol w:w="1831"/>
        <w:gridCol w:w="929"/>
        <w:gridCol w:w="1110"/>
        <w:gridCol w:w="839"/>
        <w:gridCol w:w="1094"/>
        <w:gridCol w:w="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序号</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检验项目</w:t>
            </w:r>
          </w:p>
        </w:tc>
        <w:tc>
          <w:tcPr>
            <w:tcW w:w="1831"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检验方法</w:t>
            </w: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强制性</w:t>
            </w:r>
          </w:p>
        </w:tc>
        <w:tc>
          <w:tcPr>
            <w:tcW w:w="111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非强制性</w:t>
            </w: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重要项</w:t>
            </w:r>
          </w:p>
        </w:tc>
        <w:tc>
          <w:tcPr>
            <w:tcW w:w="1094"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较重要项</w:t>
            </w:r>
          </w:p>
        </w:tc>
        <w:tc>
          <w:tcPr>
            <w:tcW w:w="886"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标志和说明</w:t>
            </w:r>
          </w:p>
        </w:tc>
        <w:tc>
          <w:tcPr>
            <w:tcW w:w="1831" w:type="dxa"/>
            <w:vMerge w:val="restart"/>
            <w:noWrap w:val="0"/>
            <w:vAlign w:val="center"/>
          </w:tcPr>
          <w:p>
            <w:pPr>
              <w:adjustRightInd w:val="0"/>
              <w:snapToGrid w:val="0"/>
              <w:spacing w:line="360" w:lineRule="exact"/>
              <w:jc w:val="center"/>
              <w:rPr>
                <w:rFonts w:hint="eastAsia" w:ascii="宋体" w:hAnsi="宋体" w:eastAsia="宋体" w:cs="宋体"/>
                <w:sz w:val="21"/>
                <w:szCs w:val="21"/>
              </w:rPr>
            </w:pPr>
            <w:r>
              <w:rPr>
                <w:rFonts w:hint="eastAsia" w:ascii="宋体" w:hAnsi="宋体" w:eastAsia="宋体" w:cs="宋体"/>
                <w:sz w:val="21"/>
                <w:szCs w:val="21"/>
              </w:rPr>
              <w:t>GB 4706.1-2005 GB 4706.32-2012</w:t>
            </w:r>
          </w:p>
        </w:tc>
        <w:tc>
          <w:tcPr>
            <w:tcW w:w="929" w:type="dxa"/>
            <w:noWrap w:val="0"/>
            <w:vAlign w:val="center"/>
          </w:tcPr>
          <w:p>
            <w:pPr>
              <w:adjustRightInd w:val="0"/>
              <w:snapToGrid w:val="0"/>
              <w:spacing w:line="360" w:lineRule="exact"/>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adjustRightInd w:val="0"/>
              <w:snapToGrid w:val="0"/>
              <w:spacing w:line="360" w:lineRule="exact"/>
              <w:jc w:val="center"/>
              <w:rPr>
                <w:rFonts w:hint="eastAsia" w:ascii="宋体" w:hAnsi="宋体" w:eastAsia="宋体" w:cs="宋体"/>
                <w:sz w:val="21"/>
                <w:szCs w:val="21"/>
              </w:rPr>
            </w:pPr>
          </w:p>
        </w:tc>
        <w:tc>
          <w:tcPr>
            <w:tcW w:w="839" w:type="dxa"/>
            <w:noWrap w:val="0"/>
            <w:vAlign w:val="center"/>
          </w:tcPr>
          <w:p>
            <w:pPr>
              <w:adjustRightInd w:val="0"/>
              <w:snapToGrid w:val="0"/>
              <w:spacing w:line="360" w:lineRule="exact"/>
              <w:jc w:val="center"/>
              <w:rPr>
                <w:rFonts w:hint="eastAsia" w:ascii="宋体" w:hAnsi="宋体" w:eastAsia="宋体" w:cs="宋体"/>
                <w:sz w:val="21"/>
                <w:szCs w:val="21"/>
              </w:rPr>
            </w:pPr>
          </w:p>
        </w:tc>
        <w:tc>
          <w:tcPr>
            <w:tcW w:w="1094" w:type="dxa"/>
            <w:noWrap w:val="0"/>
            <w:vAlign w:val="center"/>
          </w:tcPr>
          <w:p>
            <w:pPr>
              <w:adjustRightInd w:val="0"/>
              <w:snapToGrid w:val="0"/>
              <w:spacing w:line="360" w:lineRule="exact"/>
              <w:jc w:val="center"/>
              <w:rPr>
                <w:rFonts w:hint="eastAsia" w:ascii="宋体" w:hAnsi="宋体" w:eastAsia="宋体" w:cs="宋体"/>
                <w:sz w:val="21"/>
                <w:szCs w:val="21"/>
              </w:rPr>
            </w:pPr>
            <w:r>
              <w:rPr>
                <w:rFonts w:hint="eastAsia" w:ascii="宋体" w:hAnsi="宋体" w:eastAsia="宋体" w:cs="宋体"/>
                <w:sz w:val="21"/>
                <w:szCs w:val="21"/>
              </w:rPr>
              <w:t>●</w:t>
            </w: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对触及带电部件的防护</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3</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输入功率和电流</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4</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工作温度下的泄漏电流和电气强度</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5</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耐潮湿</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6</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泄漏电流和电气强度</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7</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机械强度</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8</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结构（不包括22.46条的试验）</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9</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内部布线</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10</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电源连接和外部软线</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11</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外部导线用接线端子</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12</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接地措施</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13</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电气间隙、爬电距离和固体绝缘</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094" w:type="dxa"/>
            <w:noWrap w:val="0"/>
            <w:vAlign w:val="center"/>
          </w:tcPr>
          <w:p>
            <w:pPr>
              <w:snapToGrid w:val="0"/>
              <w:jc w:val="center"/>
              <w:rPr>
                <w:rFonts w:hint="eastAsia" w:ascii="宋体" w:hAnsi="宋体" w:eastAsia="宋体" w:cs="宋体"/>
                <w:sz w:val="21"/>
                <w:szCs w:val="21"/>
              </w:rPr>
            </w:pP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14</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额定制冷量</w:t>
            </w:r>
          </w:p>
        </w:tc>
        <w:tc>
          <w:tcPr>
            <w:tcW w:w="1831" w:type="dxa"/>
            <w:vMerge w:val="restart"/>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GB/T 7725-2004</w:t>
            </w:r>
          </w:p>
        </w:tc>
        <w:tc>
          <w:tcPr>
            <w:tcW w:w="929" w:type="dxa"/>
            <w:noWrap w:val="0"/>
            <w:vAlign w:val="center"/>
          </w:tcPr>
          <w:p>
            <w:pPr>
              <w:snapToGrid w:val="0"/>
              <w:jc w:val="center"/>
              <w:rPr>
                <w:rFonts w:hint="eastAsia" w:ascii="宋体" w:hAnsi="宋体" w:eastAsia="宋体" w:cs="宋体"/>
                <w:sz w:val="21"/>
                <w:szCs w:val="21"/>
              </w:rPr>
            </w:pPr>
          </w:p>
        </w:tc>
        <w:tc>
          <w:tcPr>
            <w:tcW w:w="111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39" w:type="dxa"/>
            <w:noWrap w:val="0"/>
            <w:vAlign w:val="center"/>
          </w:tcPr>
          <w:p>
            <w:pPr>
              <w:snapToGrid w:val="0"/>
              <w:jc w:val="center"/>
              <w:rPr>
                <w:rFonts w:hint="eastAsia" w:ascii="宋体" w:hAnsi="宋体" w:eastAsia="宋体" w:cs="宋体"/>
                <w:sz w:val="21"/>
                <w:szCs w:val="21"/>
              </w:rPr>
            </w:pPr>
          </w:p>
        </w:tc>
        <w:tc>
          <w:tcPr>
            <w:tcW w:w="1094"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15</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额定制冷消耗功率</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p>
        </w:tc>
        <w:tc>
          <w:tcPr>
            <w:tcW w:w="111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39" w:type="dxa"/>
            <w:noWrap w:val="0"/>
            <w:vAlign w:val="center"/>
          </w:tcPr>
          <w:p>
            <w:pPr>
              <w:snapToGrid w:val="0"/>
              <w:jc w:val="center"/>
              <w:rPr>
                <w:rFonts w:hint="eastAsia" w:ascii="宋体" w:hAnsi="宋体" w:eastAsia="宋体" w:cs="宋体"/>
                <w:sz w:val="21"/>
                <w:szCs w:val="21"/>
              </w:rPr>
            </w:pPr>
          </w:p>
        </w:tc>
        <w:tc>
          <w:tcPr>
            <w:tcW w:w="1094"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16</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额定制热量</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p>
        </w:tc>
        <w:tc>
          <w:tcPr>
            <w:tcW w:w="111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39" w:type="dxa"/>
            <w:noWrap w:val="0"/>
            <w:vAlign w:val="center"/>
          </w:tcPr>
          <w:p>
            <w:pPr>
              <w:snapToGrid w:val="0"/>
              <w:jc w:val="center"/>
              <w:rPr>
                <w:rFonts w:hint="eastAsia" w:ascii="宋体" w:hAnsi="宋体" w:eastAsia="宋体" w:cs="宋体"/>
                <w:sz w:val="21"/>
                <w:szCs w:val="21"/>
              </w:rPr>
            </w:pPr>
          </w:p>
        </w:tc>
        <w:tc>
          <w:tcPr>
            <w:tcW w:w="1094"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17</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额定制热消耗功率</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p>
        </w:tc>
        <w:tc>
          <w:tcPr>
            <w:tcW w:w="111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39" w:type="dxa"/>
            <w:noWrap w:val="0"/>
            <w:vAlign w:val="center"/>
          </w:tcPr>
          <w:p>
            <w:pPr>
              <w:snapToGrid w:val="0"/>
              <w:jc w:val="center"/>
              <w:rPr>
                <w:rFonts w:hint="eastAsia" w:ascii="宋体" w:hAnsi="宋体" w:eastAsia="宋体" w:cs="宋体"/>
                <w:sz w:val="21"/>
                <w:szCs w:val="21"/>
              </w:rPr>
            </w:pPr>
          </w:p>
        </w:tc>
        <w:tc>
          <w:tcPr>
            <w:tcW w:w="1094"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18</w:t>
            </w:r>
          </w:p>
        </w:tc>
        <w:tc>
          <w:tcPr>
            <w:tcW w:w="2388" w:type="dxa"/>
            <w:noWrap w:val="0"/>
            <w:vAlign w:val="center"/>
          </w:tcPr>
          <w:p>
            <w:pPr>
              <w:snapToGrid w:val="0"/>
              <w:jc w:val="center"/>
              <w:rPr>
                <w:rFonts w:hint="eastAsia" w:ascii="宋体" w:hAnsi="宋体" w:eastAsia="宋体" w:cs="宋体"/>
                <w:sz w:val="21"/>
                <w:szCs w:val="21"/>
              </w:rPr>
            </w:pPr>
            <w:bookmarkStart w:id="0" w:name="_Hlk33280285"/>
            <w:r>
              <w:rPr>
                <w:rFonts w:hint="eastAsia" w:ascii="宋体" w:hAnsi="宋体" w:eastAsia="宋体" w:cs="宋体"/>
                <w:sz w:val="21"/>
                <w:szCs w:val="21"/>
              </w:rPr>
              <w:t>能效等级</w:t>
            </w:r>
            <w:bookmarkEnd w:id="0"/>
          </w:p>
        </w:tc>
        <w:tc>
          <w:tcPr>
            <w:tcW w:w="1831"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GB 12021.3-2010</w:t>
            </w: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p>
        </w:tc>
        <w:tc>
          <w:tcPr>
            <w:tcW w:w="1094"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19</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连续骚扰电压</w:t>
            </w:r>
          </w:p>
        </w:tc>
        <w:tc>
          <w:tcPr>
            <w:tcW w:w="1831" w:type="dxa"/>
            <w:vMerge w:val="restart"/>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GB 4343.1-2018</w:t>
            </w:r>
          </w:p>
          <w:p>
            <w:pPr>
              <w:snapToGrid w:val="0"/>
              <w:jc w:val="center"/>
              <w:rPr>
                <w:rFonts w:hint="eastAsia" w:ascii="宋体" w:hAnsi="宋体" w:eastAsia="宋体" w:cs="宋体"/>
                <w:sz w:val="21"/>
                <w:szCs w:val="21"/>
              </w:rPr>
            </w:pPr>
            <w:r>
              <w:rPr>
                <w:rFonts w:hint="eastAsia" w:ascii="宋体" w:hAnsi="宋体" w:eastAsia="宋体" w:cs="宋体"/>
                <w:sz w:val="21"/>
                <w:szCs w:val="21"/>
              </w:rPr>
              <w:t>或GB 4343.1-2009</w:t>
            </w: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p>
        </w:tc>
        <w:tc>
          <w:tcPr>
            <w:tcW w:w="1094"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20</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骚扰功率、辐射骚扰</w:t>
            </w:r>
          </w:p>
        </w:tc>
        <w:tc>
          <w:tcPr>
            <w:tcW w:w="1831" w:type="dxa"/>
            <w:vMerge w:val="continue"/>
            <w:noWrap w:val="0"/>
            <w:vAlign w:val="center"/>
          </w:tcPr>
          <w:p>
            <w:pPr>
              <w:snapToGrid w:val="0"/>
              <w:jc w:val="center"/>
              <w:rPr>
                <w:rFonts w:hint="eastAsia" w:ascii="宋体" w:hAnsi="宋体" w:eastAsia="宋体" w:cs="宋体"/>
                <w:sz w:val="21"/>
                <w:szCs w:val="21"/>
              </w:rPr>
            </w:pP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p>
        </w:tc>
        <w:tc>
          <w:tcPr>
            <w:tcW w:w="1094"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86"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1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21</w:t>
            </w:r>
          </w:p>
        </w:tc>
        <w:tc>
          <w:tcPr>
            <w:tcW w:w="238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谐波电流</w:t>
            </w:r>
          </w:p>
        </w:tc>
        <w:tc>
          <w:tcPr>
            <w:tcW w:w="1831"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GB 17625.1-2012</w:t>
            </w:r>
          </w:p>
        </w:tc>
        <w:tc>
          <w:tcPr>
            <w:tcW w:w="92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0" w:type="dxa"/>
            <w:noWrap w:val="0"/>
            <w:vAlign w:val="center"/>
          </w:tcPr>
          <w:p>
            <w:pPr>
              <w:snapToGrid w:val="0"/>
              <w:jc w:val="center"/>
              <w:rPr>
                <w:rFonts w:hint="eastAsia" w:ascii="宋体" w:hAnsi="宋体" w:eastAsia="宋体" w:cs="宋体"/>
                <w:sz w:val="21"/>
                <w:szCs w:val="21"/>
              </w:rPr>
            </w:pPr>
          </w:p>
        </w:tc>
        <w:tc>
          <w:tcPr>
            <w:tcW w:w="839" w:type="dxa"/>
            <w:noWrap w:val="0"/>
            <w:vAlign w:val="center"/>
          </w:tcPr>
          <w:p>
            <w:pPr>
              <w:snapToGrid w:val="0"/>
              <w:jc w:val="center"/>
              <w:rPr>
                <w:rFonts w:hint="eastAsia" w:ascii="宋体" w:hAnsi="宋体" w:eastAsia="宋体" w:cs="宋体"/>
                <w:sz w:val="21"/>
                <w:szCs w:val="21"/>
              </w:rPr>
            </w:pPr>
          </w:p>
        </w:tc>
        <w:tc>
          <w:tcPr>
            <w:tcW w:w="1094"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86" w:type="dxa"/>
            <w:noWrap w:val="0"/>
            <w:vAlign w:val="center"/>
          </w:tcPr>
          <w:p>
            <w:pPr>
              <w:snapToGrid w:val="0"/>
              <w:jc w:val="center"/>
              <w:rPr>
                <w:rFonts w:hint="eastAsia" w:ascii="宋体" w:hAnsi="宋体" w:eastAsia="宋体" w:cs="宋体"/>
                <w:sz w:val="21"/>
                <w:szCs w:val="21"/>
              </w:rPr>
            </w:pPr>
          </w:p>
        </w:tc>
      </w:tr>
    </w:tbl>
    <w:p>
      <w:pPr>
        <w:snapToGrid w:val="0"/>
        <w:spacing w:line="440" w:lineRule="exact"/>
        <w:jc w:val="center"/>
        <w:rPr>
          <w:rFonts w:ascii="Times New Roman" w:hAnsi="Times New Roman" w:cs="Times New Roman"/>
          <w:sz w:val="32"/>
          <w:szCs w:val="32"/>
        </w:rPr>
      </w:pPr>
      <w:r>
        <w:rPr>
          <w:rFonts w:ascii="Times New Roman" w:hAnsi="Times New Roman" w:cs="Times New Roman"/>
          <w:sz w:val="32"/>
          <w:szCs w:val="32"/>
        </w:rPr>
        <w:t xml:space="preserve">表2 </w:t>
      </w:r>
      <w:r>
        <w:rPr>
          <w:rFonts w:hint="eastAsia" w:ascii="Times New Roman" w:hAnsi="Times New Roman" w:cs="Times New Roman"/>
          <w:sz w:val="32"/>
          <w:szCs w:val="32"/>
          <w:lang w:val="en-US" w:eastAsia="zh-CN"/>
        </w:rPr>
        <w:t xml:space="preserve"> </w:t>
      </w:r>
      <w:r>
        <w:rPr>
          <w:rFonts w:ascii="Times New Roman" w:hAnsi="Times New Roman" w:cs="Times New Roman"/>
          <w:sz w:val="32"/>
          <w:szCs w:val="32"/>
        </w:rPr>
        <w:t>转速一定型（定频）房间空气调节器</w:t>
      </w:r>
    </w:p>
    <w:p>
      <w:pPr>
        <w:snapToGrid w:val="0"/>
        <w:spacing w:line="440" w:lineRule="exact"/>
        <w:jc w:val="center"/>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t>能效标准依据GB 21455-2019的</w:t>
      </w:r>
      <w:r>
        <w:rPr>
          <w:rFonts w:hint="eastAsia" w:ascii="Times New Roman" w:hAnsi="Times New Roman" w:cs="Times New Roman"/>
          <w:sz w:val="32"/>
          <w:szCs w:val="32"/>
        </w:rPr>
        <w:t>产品）</w:t>
      </w:r>
    </w:p>
    <w:tbl>
      <w:tblPr>
        <w:tblStyle w:val="4"/>
        <w:tblW w:w="9795" w:type="dxa"/>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2325"/>
        <w:gridCol w:w="1782"/>
        <w:gridCol w:w="888"/>
        <w:gridCol w:w="1098"/>
        <w:gridCol w:w="850"/>
        <w:gridCol w:w="1112"/>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序号</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检验项目</w:t>
            </w:r>
          </w:p>
        </w:tc>
        <w:tc>
          <w:tcPr>
            <w:tcW w:w="178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检验方法</w:t>
            </w: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强制性</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非强制性</w:t>
            </w: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重要项</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较重要项</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标志和说明</w:t>
            </w:r>
          </w:p>
        </w:tc>
        <w:tc>
          <w:tcPr>
            <w:tcW w:w="1782"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 4706.1-2005 GB 4706.32-2012</w:t>
            </w:r>
          </w:p>
        </w:tc>
        <w:tc>
          <w:tcPr>
            <w:tcW w:w="8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对触及带电部件的防护</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输入功率和电流</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工作温度下的泄漏电流和电气强度</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耐潮湿</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泄漏电流和电气强度</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7</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机械强度</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8</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结构（不包括22.46条的试验）</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9</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内部布线</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电源连接和外部软线</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11</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外部导线用接线端子</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12</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接地措施</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13</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电气间隙、爬电距离和固体绝缘</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14</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额定制冷量</w:t>
            </w:r>
          </w:p>
        </w:tc>
        <w:tc>
          <w:tcPr>
            <w:tcW w:w="1782" w:type="dxa"/>
            <w:vMerge w:val="restart"/>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GB/T 7725-2004</w:t>
            </w: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额定制冷消耗功率</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16</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额定制热量</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17</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额定制热消耗功率</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18</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额定低温制热量</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19</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额定低温制热消耗功率</w:t>
            </w: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bookmarkStart w:id="1" w:name="_Hlk33280292"/>
            <w:r>
              <w:rPr>
                <w:rFonts w:hint="eastAsia" w:ascii="宋体" w:hAnsi="宋体" w:eastAsia="宋体" w:cs="宋体"/>
                <w:sz w:val="21"/>
                <w:szCs w:val="21"/>
              </w:rPr>
              <w:t>能效等级（</w:t>
            </w:r>
            <w:bookmarkStart w:id="2" w:name="_Hlk33280053"/>
            <w:r>
              <w:rPr>
                <w:rFonts w:hint="eastAsia" w:ascii="宋体" w:hAnsi="宋体" w:eastAsia="宋体" w:cs="宋体"/>
                <w:sz w:val="21"/>
                <w:szCs w:val="21"/>
              </w:rPr>
              <w:t>制冷季节能源消耗效率</w:t>
            </w:r>
            <w:bookmarkEnd w:id="2"/>
            <w:r>
              <w:rPr>
                <w:rFonts w:hint="eastAsia" w:ascii="宋体" w:hAnsi="宋体" w:eastAsia="宋体" w:cs="宋体"/>
                <w:sz w:val="21"/>
                <w:szCs w:val="21"/>
              </w:rPr>
              <w:t>）</w:t>
            </w:r>
          </w:p>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或能效等级（</w:t>
            </w:r>
            <w:bookmarkStart w:id="3" w:name="_Hlk33280068"/>
            <w:r>
              <w:rPr>
                <w:rFonts w:hint="eastAsia" w:ascii="宋体" w:hAnsi="宋体" w:eastAsia="宋体" w:cs="宋体"/>
                <w:sz w:val="21"/>
                <w:szCs w:val="21"/>
              </w:rPr>
              <w:t>全年能源消耗效率</w:t>
            </w:r>
            <w:bookmarkEnd w:id="3"/>
            <w:r>
              <w:rPr>
                <w:rFonts w:hint="eastAsia" w:ascii="宋体" w:hAnsi="宋体" w:eastAsia="宋体" w:cs="宋体"/>
                <w:sz w:val="21"/>
                <w:szCs w:val="21"/>
              </w:rPr>
              <w:t>）</w:t>
            </w:r>
            <w:bookmarkEnd w:id="1"/>
          </w:p>
        </w:tc>
        <w:tc>
          <w:tcPr>
            <w:tcW w:w="1782" w:type="dxa"/>
            <w:vMerge w:val="restart"/>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 21455-2019</w:t>
            </w: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21</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bookmarkStart w:id="4" w:name="_Hlk33282450"/>
            <w:r>
              <w:rPr>
                <w:rFonts w:hint="eastAsia" w:ascii="宋体" w:hAnsi="宋体" w:eastAsia="宋体" w:cs="宋体"/>
                <w:sz w:val="21"/>
                <w:szCs w:val="21"/>
              </w:rPr>
              <w:t>待机功率（额定制冷量≤4500W）</w:t>
            </w:r>
            <w:bookmarkEnd w:id="4"/>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22</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连续骚扰电压</w:t>
            </w:r>
          </w:p>
        </w:tc>
        <w:tc>
          <w:tcPr>
            <w:tcW w:w="1782" w:type="dxa"/>
            <w:vMerge w:val="restart"/>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 4343.1-2018</w:t>
            </w:r>
          </w:p>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 4343.1-2009</w:t>
            </w: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23</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骚扰功率、辐射骚扰</w:t>
            </w:r>
          </w:p>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782" w:type="dxa"/>
            <w:vMerge w:val="continue"/>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6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24</w:t>
            </w:r>
          </w:p>
        </w:tc>
        <w:tc>
          <w:tcPr>
            <w:tcW w:w="232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谐波电流</w:t>
            </w:r>
          </w:p>
        </w:tc>
        <w:tc>
          <w:tcPr>
            <w:tcW w:w="178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 17625.1-2012</w:t>
            </w:r>
          </w:p>
        </w:tc>
        <w:tc>
          <w:tcPr>
            <w:tcW w:w="88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8"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c>
          <w:tcPr>
            <w:tcW w:w="1112"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75" w:type="dxa"/>
            <w:noWrap w:val="0"/>
            <w:vAlign w:val="center"/>
          </w:tcPr>
          <w:p>
            <w:pPr>
              <w:keepNext w:val="0"/>
              <w:keepLines w:val="0"/>
              <w:pageBreakBefore w:val="0"/>
              <w:widowControl w:val="0"/>
              <w:kinsoku/>
              <w:wordWrap/>
              <w:overflowPunct/>
              <w:topLinePunct w:val="0"/>
              <w:autoSpaceDE/>
              <w:autoSpaceDN/>
              <w:bidi w:val="0"/>
              <w:snapToGrid w:val="0"/>
              <w:spacing w:line="260" w:lineRule="exact"/>
              <w:jc w:val="center"/>
              <w:textAlignment w:val="auto"/>
              <w:rPr>
                <w:rFonts w:hint="eastAsia" w:ascii="宋体" w:hAnsi="宋体" w:eastAsia="宋体" w:cs="宋体"/>
                <w:sz w:val="21"/>
                <w:szCs w:val="21"/>
              </w:rPr>
            </w:pPr>
          </w:p>
        </w:tc>
      </w:tr>
    </w:tbl>
    <w:p>
      <w:pPr>
        <w:snapToGrid w:val="0"/>
        <w:spacing w:line="440" w:lineRule="exact"/>
        <w:jc w:val="center"/>
        <w:rPr>
          <w:rFonts w:ascii="Times New Roman" w:hAnsi="Times New Roman" w:cs="Times New Roman"/>
          <w:sz w:val="32"/>
          <w:szCs w:val="32"/>
        </w:rPr>
      </w:pPr>
      <w:r>
        <w:rPr>
          <w:rFonts w:ascii="Times New Roman" w:hAnsi="Times New Roman" w:cs="Times New Roman"/>
          <w:sz w:val="32"/>
          <w:szCs w:val="32"/>
        </w:rPr>
        <w:t>表3</w:t>
      </w:r>
      <w:r>
        <w:rPr>
          <w:rFonts w:hint="eastAsia" w:ascii="Times New Roman" w:hAnsi="Times New Roman" w:cs="Times New Roman"/>
          <w:sz w:val="32"/>
          <w:szCs w:val="32"/>
          <w:lang w:val="en-US" w:eastAsia="zh-CN"/>
        </w:rPr>
        <w:t xml:space="preserve">  </w:t>
      </w:r>
      <w:r>
        <w:rPr>
          <w:rFonts w:ascii="Times New Roman" w:hAnsi="Times New Roman" w:cs="Times New Roman"/>
          <w:sz w:val="32"/>
          <w:szCs w:val="32"/>
        </w:rPr>
        <w:t>转速可控型（变频）房间空气调节器</w:t>
      </w:r>
    </w:p>
    <w:tbl>
      <w:tblPr>
        <w:tblStyle w:val="4"/>
        <w:tblW w:w="9780" w:type="dxa"/>
        <w:tblInd w:w="-2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355"/>
        <w:gridCol w:w="1752"/>
        <w:gridCol w:w="873"/>
        <w:gridCol w:w="1113"/>
        <w:gridCol w:w="850"/>
        <w:gridCol w:w="1127"/>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序号</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检验项目</w:t>
            </w:r>
          </w:p>
        </w:tc>
        <w:tc>
          <w:tcPr>
            <w:tcW w:w="1752"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检验方法</w:t>
            </w: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强制性</w:t>
            </w: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非强制性</w:t>
            </w: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重要项</w:t>
            </w: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较重要项</w:t>
            </w:r>
          </w:p>
        </w:tc>
        <w:tc>
          <w:tcPr>
            <w:tcW w:w="93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标志和说明</w:t>
            </w:r>
          </w:p>
        </w:tc>
        <w:tc>
          <w:tcPr>
            <w:tcW w:w="1752" w:type="dxa"/>
            <w:vMerge w:val="restart"/>
            <w:noWrap w:val="0"/>
            <w:vAlign w:val="center"/>
          </w:tcPr>
          <w:p>
            <w:pPr>
              <w:adjustRightInd w:val="0"/>
              <w:snapToGrid w:val="0"/>
              <w:spacing w:line="360" w:lineRule="exact"/>
              <w:jc w:val="center"/>
              <w:rPr>
                <w:rFonts w:hint="eastAsia" w:ascii="宋体" w:hAnsi="宋体" w:eastAsia="宋体" w:cs="宋体"/>
                <w:sz w:val="21"/>
                <w:szCs w:val="21"/>
              </w:rPr>
            </w:pPr>
            <w:r>
              <w:rPr>
                <w:rFonts w:hint="eastAsia" w:ascii="宋体" w:hAnsi="宋体" w:eastAsia="宋体" w:cs="宋体"/>
                <w:sz w:val="21"/>
                <w:szCs w:val="21"/>
              </w:rPr>
              <w:t>GB 4706.1-2005 GB 4706.32-2012</w:t>
            </w:r>
          </w:p>
        </w:tc>
        <w:tc>
          <w:tcPr>
            <w:tcW w:w="873" w:type="dxa"/>
            <w:noWrap w:val="0"/>
            <w:vAlign w:val="center"/>
          </w:tcPr>
          <w:p>
            <w:pPr>
              <w:adjustRightInd w:val="0"/>
              <w:snapToGrid w:val="0"/>
              <w:spacing w:line="360" w:lineRule="exact"/>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adjustRightInd w:val="0"/>
              <w:snapToGrid w:val="0"/>
              <w:spacing w:line="360" w:lineRule="exact"/>
              <w:jc w:val="center"/>
              <w:rPr>
                <w:rFonts w:hint="eastAsia" w:ascii="宋体" w:hAnsi="宋体" w:eastAsia="宋体" w:cs="宋体"/>
                <w:sz w:val="21"/>
                <w:szCs w:val="21"/>
              </w:rPr>
            </w:pPr>
          </w:p>
        </w:tc>
        <w:tc>
          <w:tcPr>
            <w:tcW w:w="850" w:type="dxa"/>
            <w:noWrap w:val="0"/>
            <w:vAlign w:val="center"/>
          </w:tcPr>
          <w:p>
            <w:pPr>
              <w:adjustRightInd w:val="0"/>
              <w:snapToGrid w:val="0"/>
              <w:spacing w:line="360" w:lineRule="exact"/>
              <w:jc w:val="center"/>
              <w:rPr>
                <w:rFonts w:hint="eastAsia" w:ascii="宋体" w:hAnsi="宋体" w:eastAsia="宋体" w:cs="宋体"/>
                <w:sz w:val="21"/>
                <w:szCs w:val="21"/>
              </w:rPr>
            </w:pPr>
          </w:p>
        </w:tc>
        <w:tc>
          <w:tcPr>
            <w:tcW w:w="1127" w:type="dxa"/>
            <w:noWrap w:val="0"/>
            <w:vAlign w:val="center"/>
          </w:tcPr>
          <w:p>
            <w:pPr>
              <w:adjustRightInd w:val="0"/>
              <w:snapToGrid w:val="0"/>
              <w:spacing w:line="360" w:lineRule="exact"/>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对触及带电部件的防护</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3</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输入功率和电流</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4</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工作温度下的泄漏电流和电气强度</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5</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耐潮湿</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6</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泄漏电流和电气强度</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7</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机械强度</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8</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结构（不包括22.46条的试验）</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9</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内部布线</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10</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电源连接和外部软线</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11</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外部导线用接线端子</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12</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接地措施</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13</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电气间隙、爬电距离和固体绝缘</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27" w:type="dxa"/>
            <w:noWrap w:val="0"/>
            <w:vAlign w:val="center"/>
          </w:tcPr>
          <w:p>
            <w:pPr>
              <w:snapToGrid w:val="0"/>
              <w:jc w:val="center"/>
              <w:rPr>
                <w:rFonts w:hint="eastAsia" w:ascii="宋体" w:hAnsi="宋体" w:eastAsia="宋体" w:cs="宋体"/>
                <w:sz w:val="21"/>
                <w:szCs w:val="21"/>
              </w:rPr>
            </w:pP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14</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额定制冷量</w:t>
            </w:r>
          </w:p>
        </w:tc>
        <w:tc>
          <w:tcPr>
            <w:tcW w:w="1752" w:type="dxa"/>
            <w:vMerge w:val="restart"/>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GB/T 7725-2004</w:t>
            </w:r>
          </w:p>
        </w:tc>
        <w:tc>
          <w:tcPr>
            <w:tcW w:w="873" w:type="dxa"/>
            <w:noWrap w:val="0"/>
            <w:vAlign w:val="center"/>
          </w:tcPr>
          <w:p>
            <w:pPr>
              <w:snapToGrid w:val="0"/>
              <w:jc w:val="center"/>
              <w:rPr>
                <w:rFonts w:hint="eastAsia" w:ascii="宋体" w:hAnsi="宋体" w:eastAsia="宋体" w:cs="宋体"/>
                <w:sz w:val="21"/>
                <w:szCs w:val="21"/>
              </w:rPr>
            </w:pP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15</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额定制冷消耗功率</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16</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额定中间制冷量</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17</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额定中间制冷消耗功率</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18</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额定制热量</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19</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额定制热消耗功率</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20</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额定中间制热量</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21</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额定中间制热消耗功率</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22</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额定低温制热量</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23</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额定低温制热消耗功率</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p>
        </w:tc>
        <w:tc>
          <w:tcPr>
            <w:tcW w:w="111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24</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能效等级（制冷季节能源消耗效率）</w:t>
            </w:r>
          </w:p>
          <w:p>
            <w:pPr>
              <w:snapToGrid w:val="0"/>
              <w:jc w:val="center"/>
              <w:rPr>
                <w:rFonts w:hint="eastAsia" w:ascii="宋体" w:hAnsi="宋体" w:eastAsia="宋体" w:cs="宋体"/>
                <w:sz w:val="21"/>
                <w:szCs w:val="21"/>
              </w:rPr>
            </w:pPr>
            <w:r>
              <w:rPr>
                <w:rFonts w:hint="eastAsia" w:ascii="宋体" w:hAnsi="宋体" w:eastAsia="宋体" w:cs="宋体"/>
                <w:sz w:val="21"/>
                <w:szCs w:val="21"/>
              </w:rPr>
              <w:t>或能效等级（全年能源消耗效率）</w:t>
            </w:r>
          </w:p>
        </w:tc>
        <w:tc>
          <w:tcPr>
            <w:tcW w:w="1752" w:type="dxa"/>
            <w:vMerge w:val="restart"/>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GB 21455-2013</w:t>
            </w:r>
          </w:p>
          <w:p>
            <w:pPr>
              <w:snapToGrid w:val="0"/>
              <w:jc w:val="center"/>
              <w:rPr>
                <w:rFonts w:hint="eastAsia" w:ascii="宋体" w:hAnsi="宋体" w:eastAsia="宋体" w:cs="宋体"/>
                <w:sz w:val="21"/>
                <w:szCs w:val="21"/>
              </w:rPr>
            </w:pPr>
            <w:r>
              <w:rPr>
                <w:rFonts w:hint="eastAsia" w:ascii="宋体" w:hAnsi="宋体" w:eastAsia="宋体" w:cs="宋体"/>
                <w:sz w:val="21"/>
                <w:szCs w:val="21"/>
              </w:rPr>
              <w:t>GB 21455-2019</w:t>
            </w: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25</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待机功率（额定制冷量≤4500W）</w:t>
            </w: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26</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连续骚扰电压</w:t>
            </w:r>
          </w:p>
        </w:tc>
        <w:tc>
          <w:tcPr>
            <w:tcW w:w="1752" w:type="dxa"/>
            <w:vMerge w:val="restart"/>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GB 4343.1-2018</w:t>
            </w:r>
          </w:p>
          <w:p>
            <w:pPr>
              <w:snapToGrid w:val="0"/>
              <w:jc w:val="center"/>
              <w:rPr>
                <w:rFonts w:hint="eastAsia" w:ascii="宋体" w:hAnsi="宋体" w:eastAsia="宋体" w:cs="宋体"/>
                <w:sz w:val="21"/>
                <w:szCs w:val="21"/>
              </w:rPr>
            </w:pPr>
            <w:r>
              <w:rPr>
                <w:rFonts w:hint="eastAsia" w:ascii="宋体" w:hAnsi="宋体" w:eastAsia="宋体" w:cs="宋体"/>
                <w:sz w:val="21"/>
                <w:szCs w:val="21"/>
              </w:rPr>
              <w:t>GB 4343.1-2009</w:t>
            </w: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27</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骚扰功率、辐射骚扰</w:t>
            </w:r>
          </w:p>
          <w:p>
            <w:pPr>
              <w:snapToGrid w:val="0"/>
              <w:jc w:val="center"/>
              <w:rPr>
                <w:rFonts w:hint="eastAsia" w:ascii="宋体" w:hAnsi="宋体" w:eastAsia="宋体" w:cs="宋体"/>
                <w:sz w:val="21"/>
                <w:szCs w:val="21"/>
              </w:rPr>
            </w:pPr>
          </w:p>
        </w:tc>
        <w:tc>
          <w:tcPr>
            <w:tcW w:w="1752" w:type="dxa"/>
            <w:vMerge w:val="continue"/>
            <w:noWrap w:val="0"/>
            <w:vAlign w:val="center"/>
          </w:tcPr>
          <w:p>
            <w:pPr>
              <w:snapToGrid w:val="0"/>
              <w:jc w:val="center"/>
              <w:rPr>
                <w:rFonts w:hint="eastAsia" w:ascii="宋体" w:hAnsi="宋体" w:eastAsia="宋体" w:cs="宋体"/>
                <w:sz w:val="21"/>
                <w:szCs w:val="21"/>
              </w:rPr>
            </w:pP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80"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28</w:t>
            </w:r>
          </w:p>
        </w:tc>
        <w:tc>
          <w:tcPr>
            <w:tcW w:w="2355"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谐波电流</w:t>
            </w:r>
          </w:p>
        </w:tc>
        <w:tc>
          <w:tcPr>
            <w:tcW w:w="1752"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GB 17625.1-2012</w:t>
            </w:r>
          </w:p>
        </w:tc>
        <w:tc>
          <w:tcPr>
            <w:tcW w:w="873"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113" w:type="dxa"/>
            <w:noWrap w:val="0"/>
            <w:vAlign w:val="center"/>
          </w:tcPr>
          <w:p>
            <w:pPr>
              <w:snapToGrid w:val="0"/>
              <w:jc w:val="center"/>
              <w:rPr>
                <w:rFonts w:hint="eastAsia" w:ascii="宋体" w:hAnsi="宋体" w:eastAsia="宋体" w:cs="宋体"/>
                <w:sz w:val="21"/>
                <w:szCs w:val="21"/>
              </w:rPr>
            </w:pPr>
          </w:p>
        </w:tc>
        <w:tc>
          <w:tcPr>
            <w:tcW w:w="850" w:type="dxa"/>
            <w:noWrap w:val="0"/>
            <w:vAlign w:val="center"/>
          </w:tcPr>
          <w:p>
            <w:pPr>
              <w:snapToGrid w:val="0"/>
              <w:jc w:val="center"/>
              <w:rPr>
                <w:rFonts w:hint="eastAsia" w:ascii="宋体" w:hAnsi="宋体" w:eastAsia="宋体" w:cs="宋体"/>
                <w:sz w:val="21"/>
                <w:szCs w:val="21"/>
              </w:rPr>
            </w:pPr>
          </w:p>
        </w:tc>
        <w:tc>
          <w:tcPr>
            <w:tcW w:w="1127"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snapToGrid w:val="0"/>
              <w:jc w:val="center"/>
              <w:rPr>
                <w:rFonts w:hint="eastAsia" w:ascii="宋体" w:hAnsi="宋体" w:eastAsia="宋体" w:cs="宋体"/>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40" w:lineRule="exact"/>
        <w:ind w:firstLine="420" w:firstLineChars="20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注：由于执行标准GB 4343.1-2018于2018年5月14日发布，2020年6月1日实施，故生产日期在2018年5月14日以前的用GB 4343.1-2009标准；2018年5月14日～2020年6月1日之间的用使用说明书、证书明示的标准版本；在2020年6月1日以后的用GB 4343.1-2018标准。</w:t>
      </w:r>
    </w:p>
    <w:p>
      <w:pPr>
        <w:keepNext w:val="0"/>
        <w:keepLines w:val="0"/>
        <w:pageBreakBefore w:val="0"/>
        <w:widowControl w:val="0"/>
        <w:kinsoku/>
        <w:wordWrap/>
        <w:overflowPunct/>
        <w:topLinePunct w:val="0"/>
        <w:autoSpaceDE/>
        <w:autoSpaceDN/>
        <w:bidi w:val="0"/>
        <w:adjustRightInd w:val="0"/>
        <w:snapToGrid w:val="0"/>
        <w:spacing w:line="340" w:lineRule="exact"/>
        <w:ind w:firstLine="420" w:firstLineChars="20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340" w:lineRule="exact"/>
        <w:ind w:firstLine="420" w:firstLineChars="20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560" w:lineRule="exact"/>
        <w:ind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三、判定规则</w:t>
      </w:r>
    </w:p>
    <w:p>
      <w:pPr>
        <w:keepNext w:val="0"/>
        <w:keepLines w:val="0"/>
        <w:pageBreakBefore w:val="0"/>
        <w:kinsoku/>
        <w:wordWrap/>
        <w:overflowPunct/>
        <w:topLinePunct w:val="0"/>
        <w:bidi w:val="0"/>
        <w:adjustRightInd/>
        <w:spacing w:line="560" w:lineRule="exact"/>
        <w:ind w:firstLine="640" w:firstLineChars="200"/>
        <w:jc w:val="left"/>
        <w:textAlignment w:val="auto"/>
        <w:rPr>
          <w:rFonts w:ascii="Times New Roman" w:hAnsi="Times New Roman" w:eastAsia="楷体_GB2312" w:cs="Times New Roman"/>
          <w:kern w:val="0"/>
          <w:sz w:val="32"/>
          <w:szCs w:val="32"/>
        </w:rPr>
      </w:pPr>
      <w:r>
        <w:rPr>
          <w:rFonts w:ascii="Times New Roman" w:hAnsi="Times New Roman" w:eastAsia="楷体_GB2312" w:cs="Times New Roman"/>
          <w:sz w:val="32"/>
          <w:szCs w:val="32"/>
        </w:rPr>
        <w:t>（一）</w:t>
      </w:r>
      <w:r>
        <w:rPr>
          <w:rFonts w:ascii="Times New Roman" w:hAnsi="Times New Roman" w:eastAsia="楷体_GB2312" w:cs="Times New Roman"/>
          <w:kern w:val="0"/>
          <w:sz w:val="32"/>
          <w:szCs w:val="32"/>
        </w:rPr>
        <w:t>依据标准</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GB 4706.1-2005</w:t>
      </w:r>
      <w:r>
        <w:rPr>
          <w:rFonts w:hint="eastAsia" w:ascii="Times New Roman" w:hAnsi="Times New Roman" w:cs="Times New Roman"/>
          <w:kern w:val="0"/>
          <w:sz w:val="32"/>
          <w:szCs w:val="32"/>
        </w:rPr>
        <w:t>《家用和类似用途电器的安全第1部分：通用要求》</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ascii="Times New Roman" w:hAnsi="Times New Roman" w:cs="仿宋_GB2312"/>
          <w:kern w:val="0"/>
          <w:sz w:val="32"/>
          <w:szCs w:val="32"/>
        </w:rPr>
      </w:pPr>
      <w:r>
        <w:rPr>
          <w:rFonts w:ascii="Times New Roman" w:hAnsi="Times New Roman" w:cs="Times New Roman"/>
          <w:kern w:val="0"/>
          <w:sz w:val="32"/>
          <w:szCs w:val="32"/>
        </w:rPr>
        <w:t>GB 4706.32-2012</w:t>
      </w:r>
      <w:r>
        <w:rPr>
          <w:rFonts w:hint="eastAsia" w:ascii="Times New Roman" w:hAnsi="Times New Roman" w:cs="Times New Roman"/>
          <w:kern w:val="0"/>
          <w:sz w:val="32"/>
          <w:szCs w:val="32"/>
        </w:rPr>
        <w:t>《家用和类似用途电器的安全热泵、空调</w:t>
      </w:r>
      <w:r>
        <w:rPr>
          <w:rFonts w:hint="eastAsia" w:ascii="Times New Roman" w:hAnsi="Times New Roman" w:cs="仿宋_GB2312"/>
          <w:kern w:val="0"/>
          <w:sz w:val="32"/>
          <w:szCs w:val="32"/>
        </w:rPr>
        <w:t>器和除湿机的特殊要求》</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ascii="Times New Roman" w:hAnsi="Times New Roman" w:cs="仿宋_GB2312"/>
          <w:kern w:val="0"/>
          <w:sz w:val="32"/>
          <w:szCs w:val="32"/>
        </w:rPr>
      </w:pPr>
      <w:r>
        <w:rPr>
          <w:rFonts w:ascii="Times New Roman" w:hAnsi="Times New Roman" w:cs="Times New Roman"/>
          <w:kern w:val="0"/>
          <w:sz w:val="32"/>
          <w:szCs w:val="32"/>
        </w:rPr>
        <w:t>GB 12021.3-2010</w:t>
      </w:r>
      <w:r>
        <w:rPr>
          <w:rFonts w:ascii="Times New Roman" w:hAnsi="Times New Roman" w:cs="Times New Roman"/>
          <w:sz w:val="32"/>
        </w:rPr>
        <w:t>《</w:t>
      </w:r>
      <w:r>
        <w:rPr>
          <w:rFonts w:hint="eastAsia" w:ascii="Times New Roman" w:hAnsi="Times New Roman" w:cs="仿宋_GB2312"/>
          <w:kern w:val="0"/>
          <w:sz w:val="32"/>
          <w:szCs w:val="32"/>
        </w:rPr>
        <w:t>房间空气调节器能效限定值及能效等级</w:t>
      </w:r>
      <w:r>
        <w:rPr>
          <w:rFonts w:ascii="Times New Roman" w:hAnsi="Times New Roman" w:cs="Times New Roman"/>
          <w:sz w:val="32"/>
        </w:rPr>
        <w:t>》</w:t>
      </w:r>
      <w:r>
        <w:rPr>
          <w:rFonts w:hint="eastAsia" w:ascii="Times New Roman" w:hAnsi="Times New Roman" w:cs="仿宋_GB2312"/>
          <w:kern w:val="0"/>
          <w:sz w:val="32"/>
          <w:szCs w:val="32"/>
        </w:rPr>
        <w:t>（2020年7月1日前生产产品适用）</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ascii="Times New Roman" w:hAnsi="Times New Roman" w:cs="仿宋_GB2312"/>
          <w:kern w:val="0"/>
          <w:sz w:val="32"/>
          <w:szCs w:val="32"/>
        </w:rPr>
      </w:pPr>
      <w:r>
        <w:rPr>
          <w:rFonts w:ascii="Times New Roman" w:hAnsi="Times New Roman" w:cs="Times New Roman"/>
          <w:kern w:val="0"/>
          <w:sz w:val="32"/>
          <w:szCs w:val="32"/>
        </w:rPr>
        <w:t>GB 21455-2013</w:t>
      </w:r>
      <w:r>
        <w:rPr>
          <w:rFonts w:ascii="Times New Roman" w:hAnsi="Times New Roman" w:cs="Times New Roman"/>
          <w:sz w:val="32"/>
        </w:rPr>
        <w:t>《</w:t>
      </w:r>
      <w:r>
        <w:rPr>
          <w:rFonts w:hint="eastAsia" w:ascii="Times New Roman" w:hAnsi="Times New Roman" w:cs="仿宋_GB2312"/>
          <w:kern w:val="0"/>
          <w:sz w:val="32"/>
          <w:szCs w:val="32"/>
        </w:rPr>
        <w:t>转速可控型房间空气调节器能效限定值及能效等级</w:t>
      </w:r>
      <w:r>
        <w:rPr>
          <w:rFonts w:ascii="Times New Roman" w:hAnsi="Times New Roman" w:cs="Times New Roman"/>
          <w:sz w:val="32"/>
        </w:rPr>
        <w:t>》</w:t>
      </w:r>
      <w:r>
        <w:rPr>
          <w:rFonts w:hint="eastAsia" w:ascii="Times New Roman" w:hAnsi="Times New Roman" w:cs="仿宋_GB2312"/>
          <w:kern w:val="0"/>
          <w:sz w:val="32"/>
          <w:szCs w:val="32"/>
        </w:rPr>
        <w:t>（2020年7月1日前生产产品适用）</w:t>
      </w:r>
    </w:p>
    <w:p>
      <w:pPr>
        <w:keepNext w:val="0"/>
        <w:keepLines w:val="0"/>
        <w:pageBreakBefore w:val="0"/>
        <w:widowControl/>
        <w:kinsoku/>
        <w:wordWrap/>
        <w:overflowPunct/>
        <w:topLinePunct w:val="0"/>
        <w:autoSpaceDN w:val="0"/>
        <w:bidi w:val="0"/>
        <w:adjustRightInd/>
        <w:spacing w:line="560" w:lineRule="exact"/>
        <w:ind w:firstLine="640" w:firstLineChars="200"/>
        <w:jc w:val="left"/>
        <w:textAlignment w:val="auto"/>
        <w:rPr>
          <w:rFonts w:ascii="Times New Roman" w:hAnsi="Times New Roman" w:cs="仿宋_GB2312"/>
          <w:kern w:val="0"/>
          <w:sz w:val="32"/>
          <w:szCs w:val="32"/>
        </w:rPr>
      </w:pPr>
      <w:r>
        <w:rPr>
          <w:rFonts w:ascii="Times New Roman" w:hAnsi="Times New Roman" w:cs="Times New Roman"/>
          <w:kern w:val="0"/>
          <w:sz w:val="32"/>
          <w:szCs w:val="32"/>
        </w:rPr>
        <w:t>GB 21455-2019</w:t>
      </w:r>
      <w:r>
        <w:rPr>
          <w:rFonts w:ascii="Times New Roman" w:hAnsi="Times New Roman" w:cs="Times New Roman"/>
          <w:sz w:val="32"/>
        </w:rPr>
        <w:t>《</w:t>
      </w:r>
      <w:r>
        <w:rPr>
          <w:rFonts w:hint="eastAsia" w:ascii="Times New Roman" w:hAnsi="Times New Roman" w:cs="仿宋_GB2312"/>
          <w:kern w:val="0"/>
          <w:sz w:val="32"/>
          <w:szCs w:val="32"/>
        </w:rPr>
        <w:t>房间空气调节器能效限定值及能效等级</w:t>
      </w:r>
      <w:r>
        <w:rPr>
          <w:rFonts w:ascii="Times New Roman" w:hAnsi="Times New Roman" w:cs="Times New Roman"/>
          <w:sz w:val="32"/>
        </w:rPr>
        <w:t>》</w:t>
      </w:r>
      <w:r>
        <w:rPr>
          <w:rFonts w:hint="eastAsia" w:ascii="Times New Roman" w:hAnsi="Times New Roman" w:cs="仿宋_GB2312"/>
          <w:kern w:val="0"/>
          <w:sz w:val="32"/>
          <w:szCs w:val="32"/>
        </w:rPr>
        <w:t>（2020年7月1日及之后生产产品适用）</w:t>
      </w:r>
    </w:p>
    <w:p>
      <w:pPr>
        <w:keepNext w:val="0"/>
        <w:keepLines w:val="0"/>
        <w:pageBreakBefore w:val="0"/>
        <w:kinsoku/>
        <w:wordWrap/>
        <w:overflowPunct/>
        <w:topLinePunct w:val="0"/>
        <w:bidi w:val="0"/>
        <w:adjustRightInd/>
        <w:spacing w:line="560" w:lineRule="exact"/>
        <w:ind w:firstLine="640" w:firstLineChars="200"/>
        <w:textAlignment w:val="auto"/>
        <w:rPr>
          <w:rFonts w:ascii="Times New Roman" w:hAnsi="Times New Roman" w:cs="Times New Roman"/>
          <w:sz w:val="32"/>
        </w:rPr>
      </w:pPr>
      <w:r>
        <w:rPr>
          <w:rFonts w:ascii="Times New Roman" w:hAnsi="Times New Roman" w:cs="Times New Roman"/>
          <w:sz w:val="32"/>
        </w:rPr>
        <w:t>GB 4343.1-2009《家用电器、电动工具和类似器具的电磁兼容要求 第1部分：发射》</w:t>
      </w:r>
      <w:r>
        <w:rPr>
          <w:rFonts w:hint="eastAsia" w:ascii="Times New Roman" w:hAnsi="Times New Roman" w:cs="仿宋_GB2312"/>
          <w:kern w:val="0"/>
          <w:sz w:val="32"/>
          <w:szCs w:val="32"/>
        </w:rPr>
        <w:t>（</w:t>
      </w:r>
      <w:r>
        <w:rPr>
          <w:rFonts w:ascii="Times New Roman" w:hAnsi="Times New Roman" w:cs="仿宋_GB2312"/>
          <w:kern w:val="0"/>
          <w:sz w:val="32"/>
          <w:szCs w:val="32"/>
        </w:rPr>
        <w:t>2018年5月14日</w:t>
      </w:r>
      <w:r>
        <w:rPr>
          <w:rFonts w:hint="eastAsia" w:ascii="Times New Roman" w:hAnsi="Times New Roman" w:cs="仿宋_GB2312"/>
          <w:kern w:val="0"/>
          <w:sz w:val="32"/>
          <w:szCs w:val="32"/>
        </w:rPr>
        <w:t>前生产产品适用）</w:t>
      </w:r>
    </w:p>
    <w:p>
      <w:pPr>
        <w:keepNext w:val="0"/>
        <w:keepLines w:val="0"/>
        <w:pageBreakBefore w:val="0"/>
        <w:kinsoku/>
        <w:wordWrap/>
        <w:overflowPunct/>
        <w:topLinePunct w:val="0"/>
        <w:bidi w:val="0"/>
        <w:adjustRightInd/>
        <w:spacing w:line="560" w:lineRule="exact"/>
        <w:ind w:firstLine="640" w:firstLineChars="200"/>
        <w:textAlignment w:val="auto"/>
        <w:rPr>
          <w:rFonts w:ascii="Times New Roman" w:hAnsi="Times New Roman" w:cs="Times New Roman"/>
          <w:sz w:val="32"/>
        </w:rPr>
      </w:pPr>
      <w:r>
        <w:rPr>
          <w:rFonts w:ascii="Times New Roman" w:hAnsi="Times New Roman" w:cs="Times New Roman"/>
          <w:sz w:val="32"/>
        </w:rPr>
        <w:t>GB 4343.1-2018《家用电器、电动工具和类似器具的电磁兼容要求 第1部分：发射》</w:t>
      </w:r>
      <w:r>
        <w:rPr>
          <w:rFonts w:hint="eastAsia" w:ascii="Times New Roman" w:hAnsi="Times New Roman" w:cs="仿宋_GB2312"/>
          <w:kern w:val="0"/>
          <w:sz w:val="32"/>
          <w:szCs w:val="32"/>
        </w:rPr>
        <w:t>（</w:t>
      </w:r>
      <w:r>
        <w:rPr>
          <w:rFonts w:ascii="Times New Roman" w:hAnsi="Times New Roman" w:cs="仿宋_GB2312"/>
          <w:kern w:val="0"/>
          <w:sz w:val="32"/>
          <w:szCs w:val="32"/>
        </w:rPr>
        <w:t>2020年6月1日</w:t>
      </w:r>
      <w:r>
        <w:rPr>
          <w:rFonts w:hint="eastAsia" w:ascii="Times New Roman" w:hAnsi="Times New Roman" w:cs="仿宋_GB2312"/>
          <w:kern w:val="0"/>
          <w:sz w:val="32"/>
          <w:szCs w:val="32"/>
        </w:rPr>
        <w:t>及之后生产产品适用）</w:t>
      </w:r>
    </w:p>
    <w:p>
      <w:pPr>
        <w:keepNext w:val="0"/>
        <w:keepLines w:val="0"/>
        <w:pageBreakBefore w:val="0"/>
        <w:kinsoku/>
        <w:wordWrap/>
        <w:overflowPunct/>
        <w:topLinePunct w:val="0"/>
        <w:bidi w:val="0"/>
        <w:adjustRightInd/>
        <w:spacing w:line="560" w:lineRule="exact"/>
        <w:ind w:firstLine="640" w:firstLineChars="200"/>
        <w:textAlignment w:val="auto"/>
        <w:rPr>
          <w:rFonts w:ascii="Times New Roman" w:hAnsi="Times New Roman" w:cs="Times New Roman"/>
          <w:sz w:val="32"/>
        </w:rPr>
      </w:pPr>
      <w:r>
        <w:rPr>
          <w:rFonts w:ascii="Times New Roman" w:hAnsi="Times New Roman" w:cs="Times New Roman"/>
          <w:sz w:val="32"/>
        </w:rPr>
        <w:t>GB 17625.1-2012《电磁兼容 限值 谐波电流发射限值(设备每相输入电流≤16A)》</w:t>
      </w:r>
    </w:p>
    <w:p>
      <w:pPr>
        <w:keepNext w:val="0"/>
        <w:keepLines w:val="0"/>
        <w:pageBreakBefore w:val="0"/>
        <w:kinsoku/>
        <w:wordWrap/>
        <w:overflowPunct/>
        <w:topLinePunct w:val="0"/>
        <w:bidi w:val="0"/>
        <w:adjustRightInd/>
        <w:spacing w:line="560" w:lineRule="exact"/>
        <w:ind w:firstLine="640" w:firstLineChars="200"/>
        <w:textAlignment w:val="auto"/>
        <w:rPr>
          <w:rFonts w:ascii="Times New Roman" w:hAnsi="Times New Roman" w:cs="Times New Roman"/>
          <w:sz w:val="32"/>
        </w:rPr>
      </w:pPr>
      <w:r>
        <w:rPr>
          <w:rFonts w:ascii="Times New Roman" w:hAnsi="Times New Roman" w:cs="Times New Roman"/>
          <w:sz w:val="32"/>
        </w:rPr>
        <w:t>GB/T 7725-2004《房间空气调节器》</w:t>
      </w:r>
    </w:p>
    <w:p>
      <w:pPr>
        <w:keepNext w:val="0"/>
        <w:keepLines w:val="0"/>
        <w:pageBreakBefore w:val="0"/>
        <w:kinsoku/>
        <w:wordWrap/>
        <w:overflowPunct/>
        <w:topLinePunct w:val="0"/>
        <w:bidi w:val="0"/>
        <w:adjustRightInd/>
        <w:spacing w:line="560" w:lineRule="exact"/>
        <w:ind w:firstLine="640" w:firstLineChars="200"/>
        <w:textAlignment w:val="auto"/>
        <w:rPr>
          <w:rFonts w:ascii="Times New Roman" w:hAnsi="Times New Roman" w:cs="Times New Roman"/>
          <w:sz w:val="32"/>
        </w:rPr>
      </w:pPr>
      <w:r>
        <w:rPr>
          <w:rFonts w:ascii="Times New Roman" w:hAnsi="Times New Roman" w:cs="Times New Roman"/>
          <w:sz w:val="32"/>
        </w:rPr>
        <w:t>现行有效的企业标准、团体标准、地方标准及产品明示质量要求。</w:t>
      </w:r>
    </w:p>
    <w:p>
      <w:pPr>
        <w:keepNext w:val="0"/>
        <w:keepLines w:val="0"/>
        <w:pageBreakBefore w:val="0"/>
        <w:widowControl/>
        <w:kinsoku/>
        <w:wordWrap/>
        <w:overflowPunct/>
        <w:topLinePunct w:val="0"/>
        <w:bidi w:val="0"/>
        <w:adjustRightInd/>
        <w:spacing w:line="560" w:lineRule="exact"/>
        <w:ind w:firstLine="640" w:firstLineChars="200"/>
        <w:textAlignment w:val="auto"/>
        <w:rPr>
          <w:rFonts w:ascii="Times New Roman" w:hAnsi="Times New Roman" w:eastAsia="楷体_GB2312" w:cs="Times New Roman"/>
          <w:bCs/>
          <w:kern w:val="0"/>
          <w:sz w:val="32"/>
          <w:szCs w:val="32"/>
        </w:rPr>
      </w:pPr>
      <w:r>
        <w:rPr>
          <w:rFonts w:ascii="Times New Roman" w:hAnsi="Times New Roman" w:eastAsia="楷体_GB2312" w:cs="Times New Roman"/>
          <w:bCs/>
          <w:kern w:val="0"/>
          <w:sz w:val="32"/>
          <w:szCs w:val="32"/>
        </w:rPr>
        <w:t>（二）判定原则</w:t>
      </w:r>
    </w:p>
    <w:p>
      <w:pPr>
        <w:keepNext w:val="0"/>
        <w:keepLines w:val="0"/>
        <w:pageBreakBefore w:val="0"/>
        <w:widowControl w:val="0"/>
        <w:kinsoku/>
        <w:wordWrap/>
        <w:overflowPunct/>
        <w:topLinePunct w:val="0"/>
        <w:bidi w:val="0"/>
        <w:adjustRightInd/>
        <w:snapToGrid w:val="0"/>
        <w:spacing w:line="54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spacing w:line="54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val="0"/>
        <w:autoSpaceDN w:val="0"/>
        <w:bidi w:val="0"/>
        <w:adjustRightInd/>
        <w:spacing w:line="54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pacing w:line="54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adjustRightInd/>
        <w:spacing w:line="54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spacing w:line="54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pacing w:line="54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pacing w:line="54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按照产品质量相关法律法规的规定判定。</w:t>
      </w:r>
    </w:p>
    <w:p>
      <w:pPr>
        <w:keepNext w:val="0"/>
        <w:keepLines w:val="0"/>
        <w:pageBreakBefore w:val="0"/>
        <w:widowControl w:val="0"/>
        <w:kinsoku/>
        <w:wordWrap/>
        <w:overflowPunct/>
        <w:topLinePunct w:val="0"/>
        <w:bidi w:val="0"/>
        <w:adjustRightInd/>
        <w:spacing w:line="540" w:lineRule="exact"/>
        <w:ind w:firstLine="640" w:firstLineChars="200"/>
        <w:textAlignment w:val="auto"/>
        <w:rPr>
          <w:rFonts w:ascii="Times New Roman" w:hAnsi="Times New Roman" w:cs="Times New Roman"/>
          <w:sz w:val="32"/>
        </w:rPr>
      </w:pPr>
      <w:r>
        <w:rPr>
          <w:rFonts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0876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3"/>
    <w:basedOn w:val="1"/>
    <w:next w:val="1"/>
    <w:qFormat/>
    <w:uiPriority w:val="0"/>
    <w:pPr>
      <w:keepNext/>
      <w:keepLines/>
      <w:spacing w:line="600" w:lineRule="exact"/>
      <w:outlineLvl w:val="2"/>
    </w:pPr>
    <w:rPr>
      <w:rFonts w:eastAsia="楷体_GB2312"/>
      <w:b/>
      <w:sz w:val="30"/>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2022-09-09T09:10:32Z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