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3</w:t>
      </w:r>
    </w:p>
    <w:p>
      <w:pPr>
        <w:widowControl/>
        <w:spacing w:line="600" w:lineRule="exact"/>
        <w:jc w:val="center"/>
        <w:rPr>
          <w:rFonts w:hint="eastAsia" w:eastAsia="方正小标宋简体" w:cs="方正小标宋简体"/>
          <w:sz w:val="44"/>
          <w:szCs w:val="44"/>
        </w:rPr>
      </w:pPr>
      <w:r>
        <w:rPr>
          <w:rFonts w:hint="eastAsia" w:eastAsia="方正小标宋简体" w:cs="方正小标宋简体"/>
          <w:sz w:val="44"/>
          <w:szCs w:val="44"/>
        </w:rPr>
        <w:t>广东省车用尿素水溶液产品质量监督抽查</w:t>
      </w:r>
    </w:p>
    <w:p>
      <w:pPr>
        <w:widowControl/>
        <w:spacing w:line="600" w:lineRule="exact"/>
        <w:jc w:val="center"/>
        <w:rPr>
          <w:rFonts w:eastAsia="方正小标宋简体" w:cs="方正小标宋简体"/>
          <w:sz w:val="44"/>
          <w:szCs w:val="44"/>
        </w:rPr>
      </w:pPr>
      <w:r>
        <w:rPr>
          <w:rFonts w:hint="eastAsia" w:eastAsia="方正小标宋简体" w:cs="方正小标宋简体"/>
          <w:sz w:val="44"/>
          <w:szCs w:val="44"/>
        </w:rPr>
        <w:t>（快速检测）实施细则</w:t>
      </w:r>
    </w:p>
    <w:p>
      <w:pPr>
        <w:adjustRightInd w:val="0"/>
        <w:snapToGrid w:val="0"/>
        <w:spacing w:line="594" w:lineRule="exact"/>
        <w:jc w:val="center"/>
        <w:rPr>
          <w:rFonts w:eastAsia="方正小标宋简体" w:cs="方正仿宋简体"/>
          <w:color w:val="000000"/>
          <w:szCs w:val="32"/>
        </w:rPr>
      </w:pP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spacing w:line="600" w:lineRule="exact"/>
        <w:ind w:firstLine="640" w:firstLineChars="200"/>
        <w:rPr>
          <w:rFonts w:cs="仿宋_GB2312"/>
          <w:color w:val="000000"/>
          <w:sz w:val="32"/>
          <w:szCs w:val="32"/>
        </w:rPr>
      </w:pPr>
      <w:r>
        <w:rPr>
          <w:rFonts w:hint="eastAsia" w:cs="仿宋_GB2312"/>
          <w:color w:val="000000"/>
          <w:sz w:val="32"/>
          <w:szCs w:val="32"/>
        </w:rPr>
        <w:t>以随机抽样的方式在被抽样经营者的待销产品中抽取。</w:t>
      </w:r>
    </w:p>
    <w:p>
      <w:pPr>
        <w:spacing w:line="600" w:lineRule="exact"/>
        <w:ind w:firstLine="640" w:firstLineChars="200"/>
        <w:rPr>
          <w:rFonts w:cs="仿宋_GB2312"/>
          <w:color w:val="000000"/>
          <w:sz w:val="32"/>
          <w:szCs w:val="32"/>
        </w:rPr>
      </w:pPr>
      <w:r>
        <w:rPr>
          <w:rFonts w:hint="eastAsia" w:cs="仿宋_GB2312"/>
          <w:color w:val="000000"/>
          <w:sz w:val="32"/>
          <w:szCs w:val="32"/>
        </w:rPr>
        <w:t>随机数一般可使用随机数表等方法产生。</w:t>
      </w:r>
    </w:p>
    <w:p>
      <w:pPr>
        <w:spacing w:line="600" w:lineRule="exact"/>
        <w:ind w:firstLine="640" w:firstLineChars="200"/>
        <w:rPr>
          <w:rFonts w:cs="仿宋_GB2312"/>
          <w:color w:val="000000"/>
          <w:sz w:val="32"/>
          <w:szCs w:val="32"/>
        </w:rPr>
      </w:pPr>
      <w:r>
        <w:rPr>
          <w:rFonts w:hint="eastAsia" w:cs="仿宋_GB2312"/>
          <w:color w:val="000000"/>
          <w:sz w:val="32"/>
          <w:szCs w:val="32"/>
        </w:rPr>
        <w:t>抽查数量：每款产品抽取1组样本，每组样品量不少于300mL。用待抽的样品清洗取样容器3次后再采样。采样过程中，应尽可能避免灰尘或液体污染物进入样品容器。</w:t>
      </w: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二、主要检验项目及检验项目属性划分</w:t>
      </w:r>
    </w:p>
    <w:tbl>
      <w:tblPr>
        <w:tblStyle w:val="3"/>
        <w:tblW w:w="92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3140"/>
        <w:gridCol w:w="1842"/>
        <w:gridCol w:w="780"/>
        <w:gridCol w:w="672"/>
        <w:gridCol w:w="723"/>
        <w:gridCol w:w="795"/>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blHeader/>
          <w:jc w:val="center"/>
        </w:trPr>
        <w:tc>
          <w:tcPr>
            <w:tcW w:w="643" w:type="dxa"/>
            <w:noWrap w:val="0"/>
            <w:vAlign w:val="center"/>
          </w:tcPr>
          <w:p>
            <w:pPr>
              <w:snapToGrid w:val="0"/>
              <w:spacing w:line="380" w:lineRule="exact"/>
              <w:jc w:val="center"/>
              <w:rPr>
                <w:rFonts w:eastAsia="宋体"/>
                <w:b/>
                <w:bCs/>
                <w:sz w:val="21"/>
                <w:szCs w:val="21"/>
              </w:rPr>
            </w:pPr>
            <w:r>
              <w:rPr>
                <w:rFonts w:eastAsia="宋体"/>
                <w:b/>
                <w:bCs/>
                <w:sz w:val="21"/>
                <w:szCs w:val="21"/>
              </w:rPr>
              <w:t>序号</w:t>
            </w:r>
          </w:p>
        </w:tc>
        <w:tc>
          <w:tcPr>
            <w:tcW w:w="3140" w:type="dxa"/>
            <w:noWrap w:val="0"/>
            <w:vAlign w:val="center"/>
          </w:tcPr>
          <w:p>
            <w:pPr>
              <w:snapToGrid w:val="0"/>
              <w:spacing w:line="380" w:lineRule="exact"/>
              <w:jc w:val="center"/>
              <w:rPr>
                <w:rFonts w:eastAsia="宋体"/>
                <w:b/>
                <w:bCs/>
                <w:sz w:val="21"/>
                <w:szCs w:val="21"/>
              </w:rPr>
            </w:pPr>
            <w:r>
              <w:rPr>
                <w:rFonts w:eastAsia="宋体"/>
                <w:b/>
                <w:bCs/>
                <w:sz w:val="21"/>
                <w:szCs w:val="21"/>
              </w:rPr>
              <w:t>检验项目</w:t>
            </w:r>
          </w:p>
        </w:tc>
        <w:tc>
          <w:tcPr>
            <w:tcW w:w="1842" w:type="dxa"/>
            <w:noWrap w:val="0"/>
            <w:vAlign w:val="center"/>
          </w:tcPr>
          <w:p>
            <w:pPr>
              <w:snapToGrid w:val="0"/>
              <w:spacing w:line="380" w:lineRule="exact"/>
              <w:jc w:val="center"/>
              <w:rPr>
                <w:rFonts w:eastAsia="宋体"/>
                <w:b/>
                <w:bCs/>
                <w:sz w:val="21"/>
                <w:szCs w:val="21"/>
              </w:rPr>
            </w:pPr>
            <w:r>
              <w:rPr>
                <w:rFonts w:eastAsia="宋体"/>
                <w:b/>
                <w:bCs/>
                <w:sz w:val="21"/>
                <w:szCs w:val="21"/>
              </w:rPr>
              <w:t>检验方法</w:t>
            </w:r>
          </w:p>
        </w:tc>
        <w:tc>
          <w:tcPr>
            <w:tcW w:w="780" w:type="dxa"/>
            <w:noWrap w:val="0"/>
            <w:vAlign w:val="center"/>
          </w:tcPr>
          <w:p>
            <w:pPr>
              <w:snapToGrid w:val="0"/>
              <w:spacing w:line="380" w:lineRule="exact"/>
              <w:jc w:val="center"/>
              <w:rPr>
                <w:rFonts w:eastAsia="宋体"/>
                <w:b/>
                <w:bCs/>
                <w:sz w:val="21"/>
                <w:szCs w:val="21"/>
              </w:rPr>
            </w:pPr>
            <w:r>
              <w:rPr>
                <w:rFonts w:eastAsia="宋体"/>
                <w:b/>
                <w:bCs/>
                <w:sz w:val="21"/>
                <w:szCs w:val="21"/>
              </w:rPr>
              <w:t>强制性</w:t>
            </w:r>
          </w:p>
        </w:tc>
        <w:tc>
          <w:tcPr>
            <w:tcW w:w="672" w:type="dxa"/>
            <w:noWrap w:val="0"/>
            <w:vAlign w:val="center"/>
          </w:tcPr>
          <w:p>
            <w:pPr>
              <w:snapToGrid w:val="0"/>
              <w:spacing w:line="380" w:lineRule="exact"/>
              <w:jc w:val="center"/>
              <w:rPr>
                <w:rFonts w:eastAsia="宋体"/>
                <w:b/>
                <w:bCs/>
                <w:sz w:val="21"/>
                <w:szCs w:val="21"/>
              </w:rPr>
            </w:pPr>
            <w:r>
              <w:rPr>
                <w:rFonts w:eastAsia="宋体"/>
                <w:b/>
                <w:bCs/>
                <w:sz w:val="21"/>
                <w:szCs w:val="21"/>
              </w:rPr>
              <w:t>非强制性</w:t>
            </w:r>
          </w:p>
        </w:tc>
        <w:tc>
          <w:tcPr>
            <w:tcW w:w="723" w:type="dxa"/>
            <w:noWrap w:val="0"/>
            <w:vAlign w:val="center"/>
          </w:tcPr>
          <w:p>
            <w:pPr>
              <w:snapToGrid w:val="0"/>
              <w:spacing w:line="380" w:lineRule="exact"/>
              <w:jc w:val="center"/>
              <w:rPr>
                <w:rFonts w:eastAsia="宋体"/>
                <w:b/>
                <w:bCs/>
                <w:sz w:val="21"/>
                <w:szCs w:val="21"/>
              </w:rPr>
            </w:pPr>
            <w:r>
              <w:rPr>
                <w:rFonts w:eastAsia="宋体"/>
                <w:b/>
                <w:bCs/>
                <w:sz w:val="21"/>
                <w:szCs w:val="21"/>
              </w:rPr>
              <w:t>重要项</w:t>
            </w:r>
          </w:p>
        </w:tc>
        <w:tc>
          <w:tcPr>
            <w:tcW w:w="795" w:type="dxa"/>
            <w:noWrap w:val="0"/>
            <w:vAlign w:val="center"/>
          </w:tcPr>
          <w:p>
            <w:pPr>
              <w:snapToGrid w:val="0"/>
              <w:spacing w:line="380" w:lineRule="exact"/>
              <w:jc w:val="center"/>
              <w:rPr>
                <w:rFonts w:eastAsia="宋体"/>
                <w:b/>
                <w:bCs/>
                <w:sz w:val="21"/>
                <w:szCs w:val="21"/>
              </w:rPr>
            </w:pPr>
            <w:r>
              <w:rPr>
                <w:rFonts w:eastAsia="宋体"/>
                <w:b/>
                <w:bCs/>
                <w:sz w:val="21"/>
                <w:szCs w:val="21"/>
              </w:rPr>
              <w:t>较重要项</w:t>
            </w:r>
          </w:p>
        </w:tc>
        <w:tc>
          <w:tcPr>
            <w:tcW w:w="687" w:type="dxa"/>
            <w:noWrap w:val="0"/>
            <w:vAlign w:val="center"/>
          </w:tcPr>
          <w:p>
            <w:pPr>
              <w:snapToGrid w:val="0"/>
              <w:spacing w:line="380" w:lineRule="exact"/>
              <w:jc w:val="center"/>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1</w:t>
            </w:r>
          </w:p>
        </w:tc>
        <w:tc>
          <w:tcPr>
            <w:tcW w:w="3140" w:type="dxa"/>
            <w:noWrap w:val="0"/>
            <w:vAlign w:val="center"/>
          </w:tcPr>
          <w:p>
            <w:pPr>
              <w:widowControl/>
              <w:spacing w:line="380" w:lineRule="exact"/>
              <w:jc w:val="center"/>
              <w:rPr>
                <w:rFonts w:eastAsia="宋体"/>
                <w:sz w:val="21"/>
                <w:szCs w:val="21"/>
              </w:rPr>
            </w:pPr>
            <w:r>
              <w:rPr>
                <w:rFonts w:eastAsia="宋体"/>
                <w:sz w:val="21"/>
                <w:szCs w:val="21"/>
              </w:rPr>
              <w:t>尿素含量</w:t>
            </w:r>
          </w:p>
        </w:tc>
        <w:tc>
          <w:tcPr>
            <w:tcW w:w="1842" w:type="dxa"/>
            <w:vMerge w:val="restart"/>
            <w:noWrap w:val="0"/>
            <w:vAlign w:val="center"/>
          </w:tcPr>
          <w:p>
            <w:pPr>
              <w:widowControl/>
              <w:spacing w:line="380" w:lineRule="exact"/>
              <w:jc w:val="center"/>
              <w:rPr>
                <w:rFonts w:eastAsia="宋体"/>
                <w:sz w:val="21"/>
              </w:rPr>
            </w:pPr>
            <w:r>
              <w:rPr>
                <w:rFonts w:ascii="宋体" w:hAnsi="宋体" w:eastAsia="宋体" w:cs="宋体"/>
                <w:kern w:val="0"/>
                <w:sz w:val="21"/>
                <w:szCs w:val="21"/>
              </w:rPr>
              <w:t>T</w:t>
            </w:r>
            <w:r>
              <w:rPr>
                <w:rFonts w:hint="eastAsia" w:ascii="宋体" w:hAnsi="宋体" w:eastAsia="宋体" w:cs="宋体"/>
                <w:kern w:val="0"/>
                <w:sz w:val="21"/>
                <w:szCs w:val="21"/>
              </w:rPr>
              <w:t>/</w:t>
            </w:r>
            <w:r>
              <w:rPr>
                <w:rFonts w:ascii="宋体" w:hAnsi="宋体" w:eastAsia="宋体" w:cs="宋体"/>
                <w:kern w:val="0"/>
                <w:sz w:val="21"/>
                <w:szCs w:val="21"/>
              </w:rPr>
              <w:t>CAQI 23</w:t>
            </w:r>
            <w:r>
              <w:rPr>
                <w:rFonts w:hint="eastAsia" w:ascii="宋体" w:hAnsi="宋体" w:eastAsia="宋体" w:cs="宋体"/>
                <w:kern w:val="0"/>
                <w:sz w:val="21"/>
                <w:szCs w:val="21"/>
              </w:rPr>
              <w:t>5</w:t>
            </w:r>
            <w:r>
              <w:rPr>
                <w:rFonts w:ascii="宋体" w:hAnsi="宋体" w:eastAsia="宋体" w:cs="宋体"/>
                <w:kern w:val="0"/>
                <w:sz w:val="21"/>
                <w:szCs w:val="21"/>
              </w:rPr>
              <w:t xml:space="preserve">-2021 </w:t>
            </w:r>
            <w:r>
              <w:rPr>
                <w:rFonts w:eastAsia="宋体"/>
                <w:sz w:val="21"/>
              </w:rPr>
              <w:t>车用尿素水溶液</w:t>
            </w:r>
            <w:r>
              <w:rPr>
                <w:rFonts w:hint="eastAsia" w:ascii="宋体" w:hAnsi="宋体" w:eastAsia="宋体" w:cs="宋体"/>
                <w:kern w:val="0"/>
                <w:sz w:val="21"/>
                <w:szCs w:val="21"/>
              </w:rPr>
              <w:t>快</w:t>
            </w:r>
            <w:r>
              <w:rPr>
                <w:rFonts w:ascii="宋体" w:hAnsi="宋体" w:eastAsia="宋体" w:cs="宋体"/>
                <w:kern w:val="0"/>
                <w:sz w:val="21"/>
                <w:szCs w:val="21"/>
              </w:rPr>
              <w:t>速筛查技术规范</w:t>
            </w:r>
            <w:r>
              <w:rPr>
                <w:rFonts w:hint="eastAsia" w:ascii="宋体" w:hAnsi="宋体" w:eastAsia="宋体" w:cs="宋体"/>
                <w:kern w:val="0"/>
                <w:sz w:val="21"/>
                <w:szCs w:val="21"/>
              </w:rPr>
              <w:t>、</w:t>
            </w:r>
            <w:r>
              <w:rPr>
                <w:rFonts w:eastAsia="宋体"/>
                <w:sz w:val="21"/>
              </w:rPr>
              <w:t>SH.HY-0</w:t>
            </w:r>
            <w:r>
              <w:rPr>
                <w:rFonts w:hint="eastAsia" w:eastAsia="宋体"/>
                <w:sz w:val="21"/>
              </w:rPr>
              <w:t>46</w:t>
            </w:r>
            <w:r>
              <w:rPr>
                <w:rFonts w:eastAsia="宋体"/>
                <w:sz w:val="21"/>
              </w:rPr>
              <w:t>-202</w:t>
            </w:r>
            <w:r>
              <w:rPr>
                <w:rFonts w:hint="eastAsia" w:eastAsia="宋体"/>
                <w:sz w:val="21"/>
              </w:rPr>
              <w:t>2</w:t>
            </w:r>
            <w:r>
              <w:rPr>
                <w:rFonts w:eastAsia="宋体"/>
                <w:sz w:val="21"/>
              </w:rPr>
              <w:t>车用尿素水溶液快速筛查技术</w:t>
            </w:r>
          </w:p>
          <w:p>
            <w:pPr>
              <w:widowControl/>
              <w:spacing w:line="380" w:lineRule="exact"/>
              <w:jc w:val="center"/>
              <w:rPr>
                <w:rFonts w:eastAsia="宋体"/>
                <w:kern w:val="0"/>
                <w:sz w:val="20"/>
                <w:szCs w:val="20"/>
              </w:rPr>
            </w:pPr>
            <w:r>
              <w:rPr>
                <w:rFonts w:eastAsia="宋体"/>
                <w:sz w:val="21"/>
              </w:rPr>
              <w:t>规范</w:t>
            </w: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r>
              <w:rPr>
                <w:rFonts w:eastAsia="宋体"/>
                <w:sz w:val="21"/>
                <w:szCs w:val="21"/>
              </w:rPr>
              <w:t>●</w:t>
            </w:r>
          </w:p>
        </w:tc>
        <w:tc>
          <w:tcPr>
            <w:tcW w:w="795" w:type="dxa"/>
            <w:noWrap w:val="0"/>
            <w:vAlign w:val="center"/>
          </w:tcPr>
          <w:p>
            <w:pPr>
              <w:spacing w:line="380" w:lineRule="exact"/>
              <w:jc w:val="center"/>
              <w:rPr>
                <w:rFonts w:eastAsia="宋体"/>
              </w:rPr>
            </w:pPr>
          </w:p>
        </w:tc>
        <w:tc>
          <w:tcPr>
            <w:tcW w:w="687" w:type="dxa"/>
            <w:noWrap w:val="0"/>
            <w:vAlign w:val="center"/>
          </w:tcPr>
          <w:p>
            <w:pPr>
              <w:widowControl/>
              <w:adjustRightInd w:val="0"/>
              <w:snapToGrid w:val="0"/>
              <w:spacing w:line="3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2</w:t>
            </w:r>
          </w:p>
        </w:tc>
        <w:tc>
          <w:tcPr>
            <w:tcW w:w="3140" w:type="dxa"/>
            <w:noWrap w:val="0"/>
            <w:vAlign w:val="center"/>
          </w:tcPr>
          <w:p>
            <w:pPr>
              <w:widowControl/>
              <w:spacing w:line="380" w:lineRule="exact"/>
              <w:jc w:val="center"/>
              <w:rPr>
                <w:rFonts w:eastAsia="宋体"/>
                <w:sz w:val="21"/>
                <w:szCs w:val="21"/>
              </w:rPr>
            </w:pPr>
            <w:r>
              <w:rPr>
                <w:rFonts w:eastAsia="宋体"/>
                <w:sz w:val="21"/>
                <w:szCs w:val="21"/>
              </w:rPr>
              <w:t>折光率</w:t>
            </w:r>
            <w:r>
              <w:rPr>
                <w:rFonts w:eastAsia="宋体"/>
                <w:sz w:val="21"/>
                <w:szCs w:val="21"/>
                <w:vertAlign w:val="superscript"/>
              </w:rPr>
              <w:t>20</w:t>
            </w:r>
            <w:r>
              <w:rPr>
                <w:rFonts w:eastAsia="宋体"/>
                <w:sz w:val="24"/>
              </w:rPr>
              <w:t>n</w:t>
            </w:r>
            <w:r>
              <w:rPr>
                <w:rFonts w:eastAsia="宋体"/>
                <w:sz w:val="21"/>
                <w:szCs w:val="21"/>
                <w:vertAlign w:val="subscript"/>
              </w:rPr>
              <w:t>D</w:t>
            </w:r>
          </w:p>
        </w:tc>
        <w:tc>
          <w:tcPr>
            <w:tcW w:w="1842" w:type="dxa"/>
            <w:vMerge w:val="continue"/>
            <w:noWrap w:val="0"/>
            <w:vAlign w:val="center"/>
          </w:tcPr>
          <w:p>
            <w:pPr>
              <w:widowControl/>
              <w:spacing w:line="380" w:lineRule="exact"/>
              <w:jc w:val="center"/>
              <w:rPr>
                <w:rFonts w:eastAsia="宋体"/>
                <w:kern w:val="0"/>
                <w:sz w:val="20"/>
                <w:szCs w:val="20"/>
              </w:rPr>
            </w:pP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p>
        </w:tc>
        <w:tc>
          <w:tcPr>
            <w:tcW w:w="795" w:type="dxa"/>
            <w:noWrap w:val="0"/>
            <w:vAlign w:val="center"/>
          </w:tcPr>
          <w:p>
            <w:pPr>
              <w:spacing w:line="380" w:lineRule="exact"/>
              <w:jc w:val="center"/>
              <w:rPr>
                <w:rFonts w:eastAsia="宋体"/>
              </w:rPr>
            </w:pPr>
            <w:r>
              <w:rPr>
                <w:rFonts w:eastAsia="宋体"/>
                <w:sz w:val="21"/>
                <w:szCs w:val="21"/>
              </w:rPr>
              <w:t>●</w:t>
            </w:r>
          </w:p>
        </w:tc>
        <w:tc>
          <w:tcPr>
            <w:tcW w:w="687" w:type="dxa"/>
            <w:noWrap w:val="0"/>
            <w:vAlign w:val="center"/>
          </w:tcPr>
          <w:p>
            <w:pPr>
              <w:spacing w:line="3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3</w:t>
            </w:r>
          </w:p>
        </w:tc>
        <w:tc>
          <w:tcPr>
            <w:tcW w:w="3140" w:type="dxa"/>
            <w:noWrap w:val="0"/>
            <w:vAlign w:val="center"/>
          </w:tcPr>
          <w:p>
            <w:pPr>
              <w:widowControl/>
              <w:spacing w:line="380" w:lineRule="exact"/>
              <w:jc w:val="center"/>
              <w:rPr>
                <w:rFonts w:eastAsia="宋体"/>
                <w:sz w:val="21"/>
                <w:szCs w:val="21"/>
              </w:rPr>
            </w:pPr>
            <w:r>
              <w:rPr>
                <w:rFonts w:eastAsia="宋体"/>
                <w:sz w:val="21"/>
                <w:szCs w:val="21"/>
              </w:rPr>
              <w:t>缩二脲</w:t>
            </w:r>
          </w:p>
        </w:tc>
        <w:tc>
          <w:tcPr>
            <w:tcW w:w="1842" w:type="dxa"/>
            <w:vMerge w:val="continue"/>
            <w:noWrap w:val="0"/>
            <w:vAlign w:val="center"/>
          </w:tcPr>
          <w:p>
            <w:pPr>
              <w:widowControl/>
              <w:spacing w:line="380" w:lineRule="exact"/>
              <w:jc w:val="center"/>
              <w:rPr>
                <w:rFonts w:eastAsia="宋体"/>
                <w:kern w:val="0"/>
                <w:sz w:val="20"/>
                <w:szCs w:val="20"/>
              </w:rPr>
            </w:pP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p>
        </w:tc>
        <w:tc>
          <w:tcPr>
            <w:tcW w:w="795" w:type="dxa"/>
            <w:noWrap w:val="0"/>
            <w:vAlign w:val="center"/>
          </w:tcPr>
          <w:p>
            <w:pPr>
              <w:spacing w:line="380" w:lineRule="exact"/>
              <w:jc w:val="center"/>
              <w:rPr>
                <w:rFonts w:eastAsia="宋体"/>
              </w:rPr>
            </w:pPr>
            <w:r>
              <w:rPr>
                <w:rFonts w:eastAsia="宋体"/>
                <w:sz w:val="21"/>
                <w:szCs w:val="21"/>
              </w:rPr>
              <w:t>●</w:t>
            </w:r>
          </w:p>
        </w:tc>
        <w:tc>
          <w:tcPr>
            <w:tcW w:w="687" w:type="dxa"/>
            <w:noWrap w:val="0"/>
            <w:vAlign w:val="center"/>
          </w:tcPr>
          <w:p>
            <w:pPr>
              <w:spacing w:line="380" w:lineRule="exact"/>
              <w:jc w:val="center"/>
              <w:rPr>
                <w:rFonts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643" w:type="dxa"/>
            <w:noWrap w:val="0"/>
            <w:vAlign w:val="center"/>
          </w:tcPr>
          <w:p>
            <w:pPr>
              <w:widowControl/>
              <w:spacing w:line="380" w:lineRule="exact"/>
              <w:jc w:val="center"/>
              <w:rPr>
                <w:rFonts w:eastAsia="宋体"/>
                <w:sz w:val="21"/>
                <w:szCs w:val="21"/>
              </w:rPr>
            </w:pPr>
            <w:r>
              <w:rPr>
                <w:rFonts w:eastAsia="宋体"/>
                <w:sz w:val="21"/>
                <w:szCs w:val="21"/>
              </w:rPr>
              <w:t>4</w:t>
            </w:r>
          </w:p>
        </w:tc>
        <w:tc>
          <w:tcPr>
            <w:tcW w:w="3140" w:type="dxa"/>
            <w:noWrap w:val="0"/>
            <w:vAlign w:val="center"/>
          </w:tcPr>
          <w:p>
            <w:pPr>
              <w:spacing w:line="380" w:lineRule="exact"/>
              <w:jc w:val="center"/>
              <w:rPr>
                <w:rFonts w:eastAsia="宋体"/>
                <w:sz w:val="21"/>
                <w:szCs w:val="21"/>
              </w:rPr>
            </w:pPr>
            <w:r>
              <w:rPr>
                <w:rFonts w:eastAsia="宋体"/>
                <w:sz w:val="21"/>
                <w:szCs w:val="21"/>
              </w:rPr>
              <w:t>醛类（以HCHO计）</w:t>
            </w:r>
          </w:p>
        </w:tc>
        <w:tc>
          <w:tcPr>
            <w:tcW w:w="1842" w:type="dxa"/>
            <w:vMerge w:val="continue"/>
            <w:noWrap w:val="0"/>
            <w:vAlign w:val="center"/>
          </w:tcPr>
          <w:p>
            <w:pPr>
              <w:widowControl/>
              <w:spacing w:line="380" w:lineRule="exact"/>
              <w:jc w:val="center"/>
              <w:rPr>
                <w:rFonts w:eastAsia="宋体"/>
                <w:kern w:val="0"/>
                <w:sz w:val="20"/>
                <w:szCs w:val="20"/>
              </w:rPr>
            </w:pPr>
          </w:p>
        </w:tc>
        <w:tc>
          <w:tcPr>
            <w:tcW w:w="780" w:type="dxa"/>
            <w:noWrap w:val="0"/>
            <w:vAlign w:val="center"/>
          </w:tcPr>
          <w:p>
            <w:pPr>
              <w:spacing w:line="380" w:lineRule="exact"/>
              <w:jc w:val="center"/>
              <w:rPr>
                <w:rFonts w:eastAsia="宋体"/>
              </w:rPr>
            </w:pPr>
            <w:r>
              <w:rPr>
                <w:rFonts w:eastAsia="宋体"/>
                <w:sz w:val="21"/>
                <w:szCs w:val="21"/>
              </w:rPr>
              <w:t>●</w:t>
            </w:r>
          </w:p>
        </w:tc>
        <w:tc>
          <w:tcPr>
            <w:tcW w:w="672" w:type="dxa"/>
            <w:noWrap w:val="0"/>
            <w:vAlign w:val="center"/>
          </w:tcPr>
          <w:p>
            <w:pPr>
              <w:widowControl/>
              <w:adjustRightInd w:val="0"/>
              <w:snapToGrid w:val="0"/>
              <w:spacing w:line="380" w:lineRule="exact"/>
              <w:jc w:val="center"/>
              <w:rPr>
                <w:rFonts w:eastAsia="宋体"/>
              </w:rPr>
            </w:pPr>
          </w:p>
        </w:tc>
        <w:tc>
          <w:tcPr>
            <w:tcW w:w="723" w:type="dxa"/>
            <w:noWrap w:val="0"/>
            <w:vAlign w:val="center"/>
          </w:tcPr>
          <w:p>
            <w:pPr>
              <w:spacing w:line="380" w:lineRule="exact"/>
              <w:jc w:val="center"/>
              <w:rPr>
                <w:rFonts w:eastAsia="宋体"/>
              </w:rPr>
            </w:pPr>
          </w:p>
        </w:tc>
        <w:tc>
          <w:tcPr>
            <w:tcW w:w="795" w:type="dxa"/>
            <w:noWrap w:val="0"/>
            <w:vAlign w:val="center"/>
          </w:tcPr>
          <w:p>
            <w:pPr>
              <w:spacing w:line="380" w:lineRule="exact"/>
              <w:jc w:val="center"/>
              <w:rPr>
                <w:rFonts w:eastAsia="宋体"/>
              </w:rPr>
            </w:pPr>
            <w:r>
              <w:rPr>
                <w:rFonts w:eastAsia="宋体"/>
                <w:sz w:val="21"/>
                <w:szCs w:val="21"/>
              </w:rPr>
              <w:t>●</w:t>
            </w:r>
          </w:p>
        </w:tc>
        <w:tc>
          <w:tcPr>
            <w:tcW w:w="687" w:type="dxa"/>
            <w:noWrap w:val="0"/>
            <w:vAlign w:val="center"/>
          </w:tcPr>
          <w:p>
            <w:pPr>
              <w:spacing w:line="380" w:lineRule="exact"/>
              <w:jc w:val="center"/>
              <w:rPr>
                <w:rFonts w:eastAsia="宋体"/>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eastAsia="宋体" w:cs="宋体"/>
          <w:color w:val="000000"/>
          <w:sz w:val="24"/>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eastAsia="黑体" w:cs="黑体"/>
          <w:sz w:val="32"/>
          <w:szCs w:val="32"/>
        </w:rPr>
      </w:pPr>
      <w:r>
        <w:rPr>
          <w:rFonts w:hint="eastAsia" w:eastAsia="黑体" w:cs="黑体"/>
          <w:sz w:val="32"/>
          <w:szCs w:val="32"/>
        </w:rPr>
        <w:t>三、判定规则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eastAsia="楷体_GB2312" w:cs="楷体_GB2312"/>
          <w:sz w:val="32"/>
          <w:szCs w:val="32"/>
        </w:rPr>
      </w:pPr>
      <w:r>
        <w:rPr>
          <w:rFonts w:hint="eastAsia" w:eastAsia="楷体_GB2312" w:cs="楷体_GB2312"/>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GB 29518-2013 柴油发动机氮氧化物还原剂 尿素水溶液（AUS32）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eastAsia="楷体_GB2312" w:cs="楷体_GB2312"/>
          <w:sz w:val="32"/>
          <w:szCs w:val="32"/>
        </w:rPr>
      </w:pPr>
      <w:r>
        <w:rPr>
          <w:rFonts w:hint="eastAsia" w:eastAsia="楷体_GB2312" w:cs="楷体_GB2312"/>
          <w:sz w:val="32"/>
          <w:szCs w:val="32"/>
        </w:rPr>
        <w:t>（二）判定原则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经检验，检验项目全部合格，判定为抽取的样本所检项目未检出不合格；检验项目中任一项或一项以上不合格，判定为被抽查产品疑似不合格。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hint="eastAsia"/>
          <w:sz w:val="32"/>
          <w:szCs w:val="32"/>
        </w:rPr>
        <w:t>检验中发现因样品失效或者其他原因致使检验无法进行的，检验人员应如实记录，并提供相关证明材料，报送组织监督抽查的市场监管部门。</w:t>
      </w:r>
      <w:bookmarkStart w:id="0" w:name="_GoBack"/>
      <w:bookmarkEnd w:id="0"/>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50D54"/>
    <w:rsid w:val="24F50D54"/>
    <w:rsid w:val="270036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2</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DDZA10450</cp:lastModifiedBy>
  <dcterms:modified xsi:type="dcterms:W3CDTF">2022-06-16T02:04:09Z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