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1</w:t>
      </w:r>
    </w:p>
    <w:p>
      <w:pPr>
        <w:keepNext w:val="0"/>
        <w:keepLines w:val="0"/>
        <w:pageBreakBefore w:val="0"/>
        <w:widowControl/>
        <w:kinsoku/>
        <w:wordWrap/>
        <w:overflowPunct/>
        <w:topLinePunct w:val="0"/>
        <w:bidi w:val="0"/>
        <w:adjustRightInd/>
        <w:snapToGrid/>
        <w:spacing w:line="580" w:lineRule="exact"/>
        <w:jc w:val="center"/>
        <w:textAlignment w:val="auto"/>
        <w:rPr>
          <w:rFonts w:hint="eastAsia" w:eastAsia="方正小标宋简体" w:cs="方正小标宋简体"/>
          <w:sz w:val="44"/>
          <w:szCs w:val="44"/>
        </w:rPr>
      </w:pPr>
      <w:r>
        <w:rPr>
          <w:rFonts w:hint="eastAsia" w:eastAsia="方正小标宋简体" w:cs="方正小标宋简体"/>
          <w:sz w:val="44"/>
          <w:szCs w:val="44"/>
        </w:rPr>
        <w:t>广东省</w:t>
      </w:r>
      <w:r>
        <w:rPr>
          <w:rFonts w:hint="eastAsia" w:eastAsia="方正小标宋简体" w:cs="方正小标宋简体"/>
          <w:color w:val="000000"/>
          <w:sz w:val="44"/>
          <w:szCs w:val="44"/>
        </w:rPr>
        <w:t>成品油</w:t>
      </w:r>
      <w:r>
        <w:rPr>
          <w:rFonts w:hint="eastAsia" w:eastAsia="方正小标宋简体" w:cs="方正小标宋简体"/>
          <w:sz w:val="44"/>
          <w:szCs w:val="44"/>
        </w:rPr>
        <w:t>产品质量监督抽查</w:t>
      </w:r>
    </w:p>
    <w:p>
      <w:pPr>
        <w:keepNext w:val="0"/>
        <w:keepLines w:val="0"/>
        <w:pageBreakBefore w:val="0"/>
        <w:widowControl/>
        <w:kinsoku/>
        <w:wordWrap/>
        <w:overflowPunct/>
        <w:topLinePunct w:val="0"/>
        <w:bidi w:val="0"/>
        <w:adjustRightInd/>
        <w:snapToGrid/>
        <w:spacing w:line="580" w:lineRule="exact"/>
        <w:jc w:val="center"/>
        <w:textAlignment w:val="auto"/>
        <w:rPr>
          <w:rFonts w:eastAsia="方正小标宋简体" w:cs="方正小标宋简体"/>
          <w:sz w:val="44"/>
          <w:szCs w:val="44"/>
        </w:rPr>
      </w:pPr>
      <w:r>
        <w:rPr>
          <w:rFonts w:hint="eastAsia" w:eastAsia="方正小标宋简体" w:cs="方正小标宋简体"/>
          <w:sz w:val="44"/>
          <w:szCs w:val="44"/>
        </w:rPr>
        <w:t>（快速检测）实施细则</w:t>
      </w:r>
    </w:p>
    <w:p>
      <w:pPr>
        <w:keepNext w:val="0"/>
        <w:keepLines w:val="0"/>
        <w:pageBreakBefore w:val="0"/>
        <w:kinsoku/>
        <w:wordWrap/>
        <w:overflowPunct/>
        <w:topLinePunct w:val="0"/>
        <w:bidi w:val="0"/>
        <w:adjustRightInd/>
        <w:snapToGrid/>
        <w:spacing w:line="580" w:lineRule="exact"/>
        <w:ind w:firstLine="640" w:firstLineChars="200"/>
        <w:textAlignment w:val="auto"/>
        <w:rPr>
          <w:rFonts w:ascii="黑体" w:hAnsi="黑体" w:eastAsia="黑体" w:cs="黑体"/>
          <w:color w:val="000000"/>
          <w:szCs w:val="32"/>
        </w:rPr>
      </w:pPr>
    </w:p>
    <w:p>
      <w:pPr>
        <w:keepNext w:val="0"/>
        <w:keepLines w:val="0"/>
        <w:pageBreakBefore w:val="0"/>
        <w:kinsoku/>
        <w:wordWrap/>
        <w:overflowPunct/>
        <w:topLinePunct w:val="0"/>
        <w:bidi w:val="0"/>
        <w:adjustRightInd/>
        <w:snapToGrid/>
        <w:spacing w:line="58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kern w:val="0"/>
          <w:sz w:val="32"/>
          <w:szCs w:val="32"/>
        </w:rPr>
      </w:pPr>
      <w:r>
        <w:rPr>
          <w:color w:val="000000"/>
          <w:kern w:val="0"/>
          <w:sz w:val="32"/>
          <w:szCs w:val="32"/>
        </w:rPr>
        <w:t>以随机抽样的方式在被抽样经营者的待销产品中抽取。</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kern w:val="0"/>
          <w:sz w:val="32"/>
          <w:szCs w:val="32"/>
        </w:rPr>
      </w:pPr>
      <w:r>
        <w:rPr>
          <w:color w:val="000000"/>
          <w:kern w:val="0"/>
          <w:sz w:val="32"/>
          <w:szCs w:val="32"/>
        </w:rPr>
        <w:t>随机数一般可使用随机数表等方法产生。</w:t>
      </w:r>
    </w:p>
    <w:p>
      <w:pPr>
        <w:keepNext w:val="0"/>
        <w:keepLines w:val="0"/>
        <w:pageBreakBefore w:val="0"/>
        <w:widowControl/>
        <w:kinsoku/>
        <w:wordWrap/>
        <w:overflowPunct/>
        <w:topLinePunct w:val="0"/>
        <w:bidi w:val="0"/>
        <w:adjustRightInd/>
        <w:snapToGrid/>
        <w:spacing w:line="580" w:lineRule="exact"/>
        <w:ind w:firstLine="640" w:firstLineChars="200"/>
        <w:textAlignment w:val="auto"/>
        <w:rPr>
          <w:color w:val="000000"/>
          <w:sz w:val="32"/>
          <w:szCs w:val="32"/>
        </w:rPr>
      </w:pPr>
      <w:r>
        <w:rPr>
          <w:color w:val="000000"/>
          <w:kern w:val="0"/>
          <w:sz w:val="32"/>
          <w:szCs w:val="32"/>
        </w:rPr>
        <w:t>抽查数量：</w:t>
      </w:r>
      <w:r>
        <w:rPr>
          <w:rFonts w:hint="eastAsia"/>
          <w:color w:val="000000"/>
          <w:kern w:val="0"/>
          <w:sz w:val="32"/>
          <w:szCs w:val="32"/>
        </w:rPr>
        <w:t>每款产品抽取1组样本，每组样品量不少于3</w:t>
      </w:r>
      <w:r>
        <w:rPr>
          <w:color w:val="000000"/>
          <w:kern w:val="0"/>
          <w:sz w:val="32"/>
          <w:szCs w:val="32"/>
        </w:rPr>
        <w:t>00</w:t>
      </w:r>
      <w:r>
        <w:rPr>
          <w:rFonts w:hint="eastAsia"/>
          <w:color w:val="000000"/>
          <w:kern w:val="0"/>
          <w:sz w:val="32"/>
          <w:szCs w:val="32"/>
        </w:rPr>
        <w:t>m</w:t>
      </w:r>
      <w:r>
        <w:rPr>
          <w:color w:val="000000"/>
          <w:kern w:val="0"/>
          <w:sz w:val="32"/>
          <w:szCs w:val="32"/>
        </w:rPr>
        <w:t>L</w:t>
      </w:r>
      <w:r>
        <w:rPr>
          <w:rFonts w:hint="eastAsia"/>
          <w:color w:val="000000"/>
          <w:kern w:val="0"/>
          <w:sz w:val="32"/>
          <w:szCs w:val="32"/>
        </w:rPr>
        <w:t>。</w:t>
      </w:r>
      <w:r>
        <w:rPr>
          <w:rFonts w:hint="eastAsia"/>
          <w:color w:val="000000"/>
          <w:sz w:val="32"/>
          <w:szCs w:val="32"/>
        </w:rPr>
        <w:t>具体抽样数量和方法如下</w:t>
      </w:r>
      <w:r>
        <w:rPr>
          <w:color w:val="000000"/>
          <w:sz w:val="32"/>
          <w:szCs w:val="32"/>
        </w:rPr>
        <w:t>：</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在生产企业（油库）抽样时，按GB/T 4756-2015《石油液体手工取样法》规定的方法抽取样本；在加油站或燃油供应船舶或燃油供应车辆抽样时，直接在加油机加油枪或加油管出口处（或取样处）随机抽取样本。</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抽取样本前，通过油枪或油管将至少4L油品放出，清洗加油管，避免加油管污染样品，同时清洗取样容器至少3次。</w:t>
      </w:r>
    </w:p>
    <w:p>
      <w:pPr>
        <w:keepNext w:val="0"/>
        <w:keepLines w:val="0"/>
        <w:pageBreakBefore w:val="0"/>
        <w:kinsoku/>
        <w:wordWrap/>
        <w:overflowPunct/>
        <w:topLinePunct w:val="0"/>
        <w:bidi w:val="0"/>
        <w:adjustRightInd/>
        <w:snapToGrid/>
        <w:spacing w:line="580" w:lineRule="exact"/>
        <w:ind w:firstLine="640" w:firstLineChars="200"/>
        <w:textAlignment w:val="auto"/>
        <w:rPr>
          <w:rFonts w:eastAsia="黑体" w:cs="黑体"/>
          <w:color w:val="000000"/>
          <w:sz w:val="32"/>
          <w:szCs w:val="32"/>
        </w:rPr>
      </w:pPr>
      <w:r>
        <w:rPr>
          <w:rFonts w:hint="eastAsia" w:eastAsia="黑体" w:cs="黑体"/>
          <w:color w:val="000000"/>
          <w:sz w:val="32"/>
          <w:szCs w:val="32"/>
        </w:rPr>
        <w:t>二、主要检验项目及检验项目属性划分</w:t>
      </w:r>
    </w:p>
    <w:p>
      <w:pPr>
        <w:pStyle w:val="5"/>
        <w:keepNext w:val="0"/>
        <w:keepLines w:val="0"/>
        <w:pageBreakBefore w:val="0"/>
        <w:kinsoku/>
        <w:wordWrap/>
        <w:overflowPunct/>
        <w:topLinePunct w:val="0"/>
        <w:bidi w:val="0"/>
        <w:adjustRightInd/>
        <w:snapToGrid/>
        <w:spacing w:line="58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（一）车用汽油</w:t>
      </w:r>
    </w:p>
    <w:tbl>
      <w:tblPr>
        <w:tblStyle w:val="3"/>
        <w:tblW w:w="84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2268"/>
        <w:gridCol w:w="756"/>
        <w:gridCol w:w="817"/>
        <w:gridCol w:w="660"/>
        <w:gridCol w:w="705"/>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序号</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检验项目</w:t>
            </w:r>
          </w:p>
        </w:tc>
        <w:tc>
          <w:tcPr>
            <w:tcW w:w="22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4"/>
              </w:rPr>
              <w:t>检验方法</w:t>
            </w: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强制性</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非强制性</w:t>
            </w: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重要项</w:t>
            </w: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较重要项</w:t>
            </w: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1</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研究法辛烷值</w:t>
            </w:r>
          </w:p>
        </w:tc>
        <w:tc>
          <w:tcPr>
            <w:tcW w:w="226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宋体"/>
                <w:sz w:val="21"/>
              </w:rPr>
            </w:pPr>
            <w:r>
              <w:rPr>
                <w:rFonts w:ascii="宋体" w:hAnsi="宋体" w:eastAsia="宋体" w:cs="宋体"/>
                <w:kern w:val="0"/>
                <w:sz w:val="21"/>
                <w:szCs w:val="21"/>
              </w:rPr>
              <w:t>T</w:t>
            </w:r>
            <w:r>
              <w:rPr>
                <w:rFonts w:hint="eastAsia" w:ascii="宋体" w:hAnsi="宋体" w:eastAsia="宋体" w:cs="宋体"/>
                <w:kern w:val="0"/>
                <w:sz w:val="21"/>
                <w:szCs w:val="21"/>
              </w:rPr>
              <w:t>/</w:t>
            </w:r>
            <w:r>
              <w:rPr>
                <w:rFonts w:ascii="宋体" w:hAnsi="宋体" w:eastAsia="宋体" w:cs="宋体"/>
                <w:kern w:val="0"/>
                <w:sz w:val="21"/>
                <w:szCs w:val="21"/>
              </w:rPr>
              <w:t xml:space="preserve">CAQI 232-2021 </w:t>
            </w:r>
            <w:r>
              <w:rPr>
                <w:rFonts w:hint="eastAsia" w:ascii="宋体" w:hAnsi="宋体" w:eastAsia="宋体" w:cs="宋体"/>
                <w:kern w:val="0"/>
                <w:sz w:val="21"/>
                <w:szCs w:val="21"/>
              </w:rPr>
              <w:t>车用汽油快</w:t>
            </w:r>
            <w:r>
              <w:rPr>
                <w:rFonts w:ascii="宋体" w:hAnsi="宋体" w:eastAsia="宋体" w:cs="宋体"/>
                <w:kern w:val="0"/>
                <w:sz w:val="21"/>
                <w:szCs w:val="21"/>
              </w:rPr>
              <w:t>速筛查技术规范</w:t>
            </w:r>
            <w:r>
              <w:rPr>
                <w:rFonts w:hint="eastAsia" w:ascii="宋体" w:hAnsi="宋体" w:eastAsia="宋体" w:cs="宋体"/>
                <w:kern w:val="0"/>
                <w:sz w:val="21"/>
                <w:szCs w:val="21"/>
              </w:rPr>
              <w:t>、</w:t>
            </w:r>
            <w:r>
              <w:rPr>
                <w:rFonts w:hint="eastAsia" w:ascii="宋体" w:hAnsi="宋体" w:eastAsia="宋体" w:cs="宋体"/>
                <w:sz w:val="21"/>
                <w:szCs w:val="21"/>
              </w:rPr>
              <w:t>SH.HY-043-2022车用汽油快速筛查技术</w:t>
            </w:r>
            <w:r>
              <w:rPr>
                <w:rFonts w:eastAsia="宋体"/>
                <w:sz w:val="21"/>
              </w:rPr>
              <w:t>规范</w:t>
            </w: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2</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硫含量</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3</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苯含量</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4</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芳烃含量</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5</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烯烃含量</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6</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氧含量</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hint="eastAsia" w:eastAsia="宋体"/>
                <w:sz w:val="21"/>
              </w:rPr>
              <w:t>7</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密度(20℃)</w:t>
            </w:r>
          </w:p>
        </w:tc>
        <w:tc>
          <w:tcPr>
            <w:tcW w:w="2268"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5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8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66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c>
          <w:tcPr>
            <w:tcW w:w="70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96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eastAsia="宋体"/>
                <w:sz w:val="21"/>
              </w:rPr>
            </w:pPr>
          </w:p>
        </w:tc>
      </w:tr>
    </w:tbl>
    <w:p>
      <w:pPr>
        <w:pStyle w:val="5"/>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（二）车用柴油</w:t>
      </w:r>
    </w:p>
    <w:tbl>
      <w:tblPr>
        <w:tblStyle w:val="3"/>
        <w:tblW w:w="77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2268"/>
        <w:gridCol w:w="652"/>
        <w:gridCol w:w="652"/>
        <w:gridCol w:w="652"/>
        <w:gridCol w:w="652"/>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jc w:val="center"/>
        </w:trPr>
        <w:tc>
          <w:tcPr>
            <w:tcW w:w="704"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序号</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检验项目</w:t>
            </w:r>
          </w:p>
        </w:tc>
        <w:tc>
          <w:tcPr>
            <w:tcW w:w="2268"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4"/>
              </w:rPr>
              <w:t>检验方法</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强制性</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非强制性</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重要项</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较重要项</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1</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硫含量</w:t>
            </w:r>
          </w:p>
        </w:tc>
        <w:tc>
          <w:tcPr>
            <w:tcW w:w="2268" w:type="dxa"/>
            <w:vMerge w:val="restart"/>
            <w:noWrap w:val="0"/>
            <w:vAlign w:val="center"/>
          </w:tcPr>
          <w:p>
            <w:pPr>
              <w:pStyle w:val="6"/>
              <w:keepLines w:val="0"/>
              <w:kinsoku/>
              <w:wordWrap/>
              <w:overflowPunct/>
              <w:topLinePunct w:val="0"/>
              <w:autoSpaceDE/>
              <w:autoSpaceDN/>
              <w:bidi w:val="0"/>
              <w:adjustRightInd/>
              <w:snapToGrid/>
              <w:spacing w:before="0" w:after="0" w:line="340" w:lineRule="exact"/>
              <w:textAlignment w:val="auto"/>
              <w:rPr>
                <w:rFonts w:ascii="Times New Roman" w:eastAsia="宋体"/>
                <w:kern w:val="2"/>
                <w:sz w:val="21"/>
                <w:szCs w:val="24"/>
              </w:rPr>
            </w:pPr>
            <w:r>
              <w:rPr>
                <w:rFonts w:ascii="宋体" w:hAnsi="宋体" w:eastAsia="宋体" w:cs="宋体"/>
                <w:sz w:val="21"/>
                <w:szCs w:val="21"/>
              </w:rPr>
              <w:t>T</w:t>
            </w:r>
            <w:r>
              <w:rPr>
                <w:rFonts w:hint="eastAsia" w:ascii="宋体" w:hAnsi="宋体" w:eastAsia="宋体" w:cs="宋体"/>
                <w:sz w:val="21"/>
                <w:szCs w:val="21"/>
              </w:rPr>
              <w:t>/</w:t>
            </w:r>
            <w:r>
              <w:rPr>
                <w:rFonts w:ascii="宋体" w:hAnsi="宋体" w:eastAsia="宋体" w:cs="宋体"/>
                <w:sz w:val="21"/>
                <w:szCs w:val="21"/>
              </w:rPr>
              <w:t>CAQI 23</w:t>
            </w:r>
            <w:r>
              <w:rPr>
                <w:rFonts w:hint="eastAsia" w:ascii="宋体" w:hAnsi="宋体" w:eastAsia="宋体" w:cs="宋体"/>
                <w:sz w:val="21"/>
                <w:szCs w:val="21"/>
              </w:rPr>
              <w:t>3</w:t>
            </w:r>
            <w:r>
              <w:rPr>
                <w:rFonts w:ascii="宋体" w:hAnsi="宋体" w:eastAsia="宋体" w:cs="宋体"/>
                <w:sz w:val="21"/>
                <w:szCs w:val="21"/>
              </w:rPr>
              <w:t xml:space="preserve">-2021 </w:t>
            </w:r>
            <w:r>
              <w:rPr>
                <w:rFonts w:hint="eastAsia" w:ascii="宋体" w:hAnsi="宋体" w:eastAsia="宋体" w:cs="宋体"/>
                <w:sz w:val="21"/>
                <w:szCs w:val="21"/>
              </w:rPr>
              <w:t>车用</w:t>
            </w:r>
            <w:r>
              <w:rPr>
                <w:rFonts w:ascii="Times New Roman" w:eastAsia="宋体"/>
                <w:kern w:val="2"/>
                <w:sz w:val="21"/>
                <w:szCs w:val="24"/>
              </w:rPr>
              <w:t>柴</w:t>
            </w:r>
            <w:r>
              <w:rPr>
                <w:rFonts w:hint="eastAsia" w:ascii="宋体" w:hAnsi="宋体" w:eastAsia="宋体" w:cs="宋体"/>
                <w:sz w:val="21"/>
                <w:szCs w:val="21"/>
              </w:rPr>
              <w:t>油快</w:t>
            </w:r>
            <w:r>
              <w:rPr>
                <w:rFonts w:ascii="宋体" w:hAnsi="宋体" w:eastAsia="宋体" w:cs="宋体"/>
                <w:sz w:val="21"/>
                <w:szCs w:val="21"/>
              </w:rPr>
              <w:t>速筛查技术规范</w:t>
            </w:r>
            <w:r>
              <w:rPr>
                <w:rFonts w:hint="eastAsia" w:ascii="宋体" w:hAnsi="宋体" w:eastAsia="宋体" w:cs="宋体"/>
                <w:sz w:val="21"/>
                <w:szCs w:val="21"/>
              </w:rPr>
              <w:t>、</w:t>
            </w:r>
            <w:r>
              <w:rPr>
                <w:rFonts w:ascii="Times New Roman" w:eastAsia="宋体"/>
                <w:kern w:val="2"/>
                <w:sz w:val="21"/>
                <w:szCs w:val="24"/>
              </w:rPr>
              <w:t>SH.HY-0</w:t>
            </w:r>
            <w:r>
              <w:rPr>
                <w:rFonts w:hint="eastAsia" w:ascii="Times New Roman" w:eastAsia="宋体"/>
                <w:kern w:val="2"/>
                <w:sz w:val="21"/>
                <w:szCs w:val="24"/>
              </w:rPr>
              <w:t>44</w:t>
            </w:r>
            <w:r>
              <w:rPr>
                <w:rFonts w:ascii="Times New Roman" w:eastAsia="宋体"/>
                <w:kern w:val="2"/>
                <w:sz w:val="21"/>
                <w:szCs w:val="24"/>
              </w:rPr>
              <w:t>-202</w:t>
            </w:r>
            <w:r>
              <w:rPr>
                <w:rFonts w:hint="eastAsia" w:ascii="Times New Roman" w:eastAsia="宋体"/>
                <w:kern w:val="2"/>
                <w:sz w:val="21"/>
                <w:szCs w:val="24"/>
              </w:rPr>
              <w:t>2</w:t>
            </w:r>
            <w:r>
              <w:rPr>
                <w:rFonts w:ascii="Times New Roman" w:eastAsia="宋体"/>
                <w:kern w:val="2"/>
                <w:sz w:val="21"/>
                <w:szCs w:val="24"/>
              </w:rPr>
              <w:t>车用柴油快速筛查技术规范</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2</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凝点</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3</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闪点（闭口）</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4</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十六烷值</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5</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十六烷指数</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6</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密度(20℃)</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7</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冷滤点</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8</w:t>
            </w:r>
          </w:p>
        </w:tc>
        <w:tc>
          <w:tcPr>
            <w:tcW w:w="1559"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多环芳烃</w:t>
            </w:r>
          </w:p>
        </w:tc>
        <w:tc>
          <w:tcPr>
            <w:tcW w:w="2268" w:type="dxa"/>
            <w:vMerge w:val="continue"/>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40" w:lineRule="exact"/>
              <w:jc w:val="center"/>
              <w:textAlignment w:val="auto"/>
              <w:rPr>
                <w:rFonts w:eastAsia="宋体"/>
                <w:sz w:val="21"/>
              </w:rPr>
            </w:pPr>
          </w:p>
        </w:tc>
      </w:tr>
    </w:tbl>
    <w:p>
      <w:pPr>
        <w:pStyle w:val="5"/>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（三）船用燃料油(内河船用燃料油）</w:t>
      </w:r>
    </w:p>
    <w:tbl>
      <w:tblPr>
        <w:tblStyle w:val="3"/>
        <w:tblW w:w="77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2268"/>
        <w:gridCol w:w="652"/>
        <w:gridCol w:w="652"/>
        <w:gridCol w:w="652"/>
        <w:gridCol w:w="652"/>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jc w:val="center"/>
        </w:trPr>
        <w:tc>
          <w:tcPr>
            <w:tcW w:w="704"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序号</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检验项目</w:t>
            </w:r>
          </w:p>
        </w:tc>
        <w:tc>
          <w:tcPr>
            <w:tcW w:w="2268"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4"/>
              </w:rPr>
              <w:t>检验方法</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强制性</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非强制性</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重要项</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较重要项</w:t>
            </w: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b/>
                <w:bCs/>
                <w:sz w:val="21"/>
              </w:rPr>
            </w:pPr>
            <w:r>
              <w:rPr>
                <w:rFonts w:eastAsia="宋体"/>
                <w:b/>
                <w:bCs/>
                <w:sz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1</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硫含量</w:t>
            </w:r>
          </w:p>
        </w:tc>
        <w:tc>
          <w:tcPr>
            <w:tcW w:w="2268" w:type="dxa"/>
            <w:vMerge w:val="restart"/>
            <w:noWrap w:val="0"/>
            <w:vAlign w:val="center"/>
          </w:tcPr>
          <w:p>
            <w:pPr>
              <w:pStyle w:val="6"/>
              <w:keepLines w:val="0"/>
              <w:kinsoku/>
              <w:wordWrap/>
              <w:overflowPunct/>
              <w:topLinePunct w:val="0"/>
              <w:autoSpaceDE/>
              <w:autoSpaceDN/>
              <w:bidi w:val="0"/>
              <w:adjustRightInd/>
              <w:snapToGrid/>
              <w:spacing w:before="0" w:after="0" w:line="320" w:lineRule="exact"/>
              <w:textAlignment w:val="auto"/>
              <w:rPr>
                <w:rFonts w:ascii="Times New Roman" w:eastAsia="宋体"/>
                <w:sz w:val="21"/>
              </w:rPr>
            </w:pPr>
            <w:r>
              <w:rPr>
                <w:rFonts w:ascii="Times New Roman" w:eastAsia="宋体"/>
                <w:kern w:val="2"/>
                <w:sz w:val="21"/>
                <w:szCs w:val="24"/>
              </w:rPr>
              <w:t>SH.HY-</w:t>
            </w:r>
            <w:r>
              <w:rPr>
                <w:rFonts w:hint="eastAsia" w:ascii="Times New Roman" w:eastAsia="宋体"/>
                <w:kern w:val="2"/>
                <w:sz w:val="21"/>
                <w:szCs w:val="24"/>
              </w:rPr>
              <w:t>045</w:t>
            </w:r>
            <w:r>
              <w:rPr>
                <w:rFonts w:ascii="Times New Roman" w:eastAsia="宋体"/>
                <w:kern w:val="2"/>
                <w:sz w:val="21"/>
                <w:szCs w:val="24"/>
              </w:rPr>
              <w:t>-202</w:t>
            </w:r>
            <w:r>
              <w:rPr>
                <w:rFonts w:hint="eastAsia" w:ascii="Times New Roman" w:eastAsia="宋体"/>
                <w:kern w:val="2"/>
                <w:sz w:val="21"/>
                <w:szCs w:val="24"/>
              </w:rPr>
              <w:t>2</w:t>
            </w:r>
            <w:r>
              <w:rPr>
                <w:rFonts w:ascii="Times New Roman" w:eastAsia="宋体"/>
                <w:kern w:val="2"/>
                <w:sz w:val="21"/>
                <w:szCs w:val="24"/>
              </w:rPr>
              <w:t>船用燃料油快速筛查技术规范</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2</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闪点（闭口）</w:t>
            </w:r>
          </w:p>
        </w:tc>
        <w:tc>
          <w:tcPr>
            <w:tcW w:w="2268" w:type="dxa"/>
            <w:vMerge w:val="continue"/>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04" w:type="dxa"/>
            <w:noWrap w:val="0"/>
            <w:vAlign w:val="center"/>
          </w:tcPr>
          <w:p>
            <w:pPr>
              <w:keepLines w:val="0"/>
              <w:widowControl/>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3</w:t>
            </w:r>
          </w:p>
        </w:tc>
        <w:tc>
          <w:tcPr>
            <w:tcW w:w="1559"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密度(20℃)</w:t>
            </w:r>
          </w:p>
        </w:tc>
        <w:tc>
          <w:tcPr>
            <w:tcW w:w="2268" w:type="dxa"/>
            <w:vMerge w:val="continue"/>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c>
          <w:tcPr>
            <w:tcW w:w="652"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r>
              <w:rPr>
                <w:rFonts w:eastAsia="宋体"/>
                <w:sz w:val="21"/>
              </w:rPr>
              <w:t>●</w:t>
            </w:r>
          </w:p>
        </w:tc>
        <w:tc>
          <w:tcPr>
            <w:tcW w:w="653" w:type="dxa"/>
            <w:noWrap w:val="0"/>
            <w:vAlign w:val="center"/>
          </w:tcPr>
          <w:p>
            <w:pPr>
              <w:keepLines w:val="0"/>
              <w:kinsoku/>
              <w:wordWrap/>
              <w:overflowPunct/>
              <w:topLinePunct w:val="0"/>
              <w:autoSpaceDE/>
              <w:autoSpaceDN/>
              <w:bidi w:val="0"/>
              <w:adjustRightInd/>
              <w:snapToGrid/>
              <w:spacing w:line="320" w:lineRule="exact"/>
              <w:jc w:val="center"/>
              <w:textAlignment w:val="auto"/>
              <w:rPr>
                <w:rFonts w:eastAsia="宋体"/>
                <w:sz w:val="21"/>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20" w:lineRule="exact"/>
        <w:ind w:firstLine="640" w:firstLineChars="200"/>
        <w:textAlignment w:val="auto"/>
        <w:rPr>
          <w:rFonts w:eastAsia="黑体" w:cs="黑体"/>
          <w:sz w:val="32"/>
          <w:szCs w:val="32"/>
        </w:rPr>
      </w:pPr>
      <w:r>
        <w:rPr>
          <w:rFonts w:hint="eastAsia" w:eastAsia="黑体" w:cs="黑体"/>
          <w:sz w:val="32"/>
          <w:szCs w:val="32"/>
        </w:rPr>
        <w:t>三、判定规则</w:t>
      </w:r>
    </w:p>
    <w:p>
      <w:pPr>
        <w:keepNext w:val="0"/>
        <w:keepLines w:val="0"/>
        <w:pageBreakBefore w:val="0"/>
        <w:kinsoku/>
        <w:wordWrap/>
        <w:overflowPunct/>
        <w:topLinePunct w:val="0"/>
        <w:bidi w:val="0"/>
        <w:adjustRightInd/>
        <w:spacing w:line="520" w:lineRule="exact"/>
        <w:ind w:firstLine="640" w:firstLineChars="200"/>
        <w:jc w:val="left"/>
        <w:textAlignment w:val="auto"/>
        <w:rPr>
          <w:rFonts w:eastAsia="楷体_GB2312" w:cs="楷体_GB2312"/>
          <w:kern w:val="0"/>
          <w:sz w:val="32"/>
          <w:szCs w:val="32"/>
        </w:rPr>
      </w:pPr>
      <w:r>
        <w:rPr>
          <w:rFonts w:hint="eastAsia" w:eastAsia="楷体_GB2312" w:cs="楷体_GB2312"/>
          <w:sz w:val="32"/>
          <w:szCs w:val="32"/>
        </w:rPr>
        <w:t>（一）</w:t>
      </w:r>
      <w:r>
        <w:rPr>
          <w:rFonts w:hint="eastAsia" w:eastAsia="楷体_GB2312" w:cs="楷体_GB2312"/>
          <w:kern w:val="0"/>
          <w:sz w:val="32"/>
          <w:szCs w:val="32"/>
        </w:rPr>
        <w:t>依据标准</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17930-2016 车用汽油</w:t>
      </w:r>
    </w:p>
    <w:p>
      <w:pPr>
        <w:pStyle w:val="5"/>
        <w:keepNext w:val="0"/>
        <w:keepLines w:val="0"/>
        <w:pageBreakBefore w:val="0"/>
        <w:kinsoku/>
        <w:wordWrap/>
        <w:overflowPunct/>
        <w:topLinePunct w:val="0"/>
        <w:bidi w:val="0"/>
        <w:adjustRightInd/>
        <w:spacing w:line="52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 第1号修改单</w:t>
      </w:r>
    </w:p>
    <w:p>
      <w:pPr>
        <w:pStyle w:val="5"/>
        <w:keepNext w:val="0"/>
        <w:keepLines w:val="0"/>
        <w:pageBreakBefore w:val="0"/>
        <w:kinsoku/>
        <w:wordWrap/>
        <w:overflowPunct/>
        <w:topLinePunct w:val="0"/>
        <w:bidi w:val="0"/>
        <w:adjustRightInd/>
        <w:spacing w:line="52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17411-2015 船用燃料油 第1号修改单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60" w:lineRule="exact"/>
        <w:ind w:firstLine="640" w:firstLineChars="200"/>
        <w:textAlignment w:val="auto"/>
        <w:rPr>
          <w:rFonts w:eastAsia="楷体_GB2312"/>
          <w:bCs/>
          <w:kern w:val="0"/>
          <w:sz w:val="32"/>
          <w:szCs w:val="32"/>
        </w:rPr>
      </w:pPr>
      <w:r>
        <w:rPr>
          <w:rFonts w:eastAsia="楷体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经检验，检验项目全部合格，判定为抽取的样本所检项目未检出不合格；检验项目中任一项或一项以上不合格，判定为被抽查产品疑似不合格。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50D54"/>
    <w:rsid w:val="24F50D54"/>
    <w:rsid w:val="4E1C79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2</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DDZA10450</cp:lastModifiedBy>
  <dcterms:modified xsi:type="dcterms:W3CDTF">2022-06-16T02:03:14Z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